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012" w:rsidRDefault="00F87012" w:rsidP="00F87012">
      <w:pPr>
        <w:rPr>
          <w:sz w:val="20"/>
        </w:rPr>
      </w:pPr>
    </w:p>
    <w:p w:rsidR="00F37437" w:rsidRPr="00111B72" w:rsidRDefault="00F37437" w:rsidP="00F37437">
      <w:pPr>
        <w:pStyle w:val="NoSpacing"/>
        <w:numPr>
          <w:ilvl w:val="0"/>
          <w:numId w:val="12"/>
        </w:numPr>
        <w:spacing w:line="276" w:lineRule="auto"/>
        <w:jc w:val="both"/>
        <w:rPr>
          <w:rFonts w:ascii="Axiata Book" w:hAnsi="Axiata Book" w:cs="Axiata Book"/>
          <w:b/>
        </w:rPr>
      </w:pPr>
      <w:r w:rsidRPr="00111B72">
        <w:rPr>
          <w:rFonts w:ascii="Axiata Book" w:hAnsi="Axiata Book" w:cs="Axiata Book"/>
          <w:b/>
        </w:rPr>
        <w:t xml:space="preserve">RESPONSIBILITIES &amp; OBLIGATIONS OF THE SUPPLIER FOR </w:t>
      </w:r>
      <w:r>
        <w:rPr>
          <w:rFonts w:ascii="Axiata Book" w:hAnsi="Axiata Book" w:cs="Axiata Book"/>
          <w:b/>
        </w:rPr>
        <w:t xml:space="preserve">INFORMATION &amp; </w:t>
      </w:r>
      <w:r w:rsidRPr="00111B72">
        <w:rPr>
          <w:rFonts w:ascii="Axiata Book" w:hAnsi="Axiata Book" w:cs="Axiata Book"/>
          <w:b/>
        </w:rPr>
        <w:t>CYBER SECURITY</w:t>
      </w:r>
    </w:p>
    <w:p w:rsidR="00F37437" w:rsidRPr="00651E18" w:rsidRDefault="00F37437" w:rsidP="00F37437">
      <w:pPr>
        <w:pStyle w:val="NoSpacing"/>
        <w:spacing w:line="276" w:lineRule="auto"/>
        <w:ind w:left="360"/>
        <w:jc w:val="both"/>
        <w:rPr>
          <w:rFonts w:ascii="Axiata Book" w:hAnsi="Axiata Book" w:cs="Axiata Book"/>
        </w:rPr>
      </w:pPr>
    </w:p>
    <w:p w:rsidR="00F37437" w:rsidRPr="00651E18" w:rsidRDefault="00F37437" w:rsidP="00F37437">
      <w:pPr>
        <w:pStyle w:val="NoSpacing"/>
        <w:numPr>
          <w:ilvl w:val="1"/>
          <w:numId w:val="12"/>
        </w:numPr>
        <w:spacing w:line="276" w:lineRule="auto"/>
        <w:jc w:val="both"/>
        <w:rPr>
          <w:rFonts w:ascii="Axiata Book" w:hAnsi="Axiata Book" w:cs="Axiata Book"/>
          <w:b/>
        </w:rPr>
      </w:pPr>
      <w:r w:rsidRPr="00651E18">
        <w:rPr>
          <w:rFonts w:ascii="Axiata Book" w:hAnsi="Axiata Book" w:cs="Axiata Book"/>
          <w:b/>
        </w:rPr>
        <w:t>Objective:</w:t>
      </w:r>
    </w:p>
    <w:p w:rsidR="000A46DE" w:rsidRDefault="00F37437" w:rsidP="00F37437">
      <w:pPr>
        <w:pStyle w:val="NoSpacing"/>
        <w:spacing w:line="276" w:lineRule="auto"/>
        <w:ind w:firstLine="360"/>
        <w:jc w:val="both"/>
        <w:rPr>
          <w:sz w:val="20"/>
        </w:rPr>
      </w:pPr>
      <w:proofErr w:type="spellStart"/>
      <w:r w:rsidRPr="00651E18">
        <w:rPr>
          <w:rFonts w:ascii="Axiata Book" w:hAnsi="Axiata Book" w:cs="Axiata Book"/>
        </w:rPr>
        <w:t>Robi</w:t>
      </w:r>
      <w:proofErr w:type="spellEnd"/>
      <w:r w:rsidRPr="00651E18">
        <w:rPr>
          <w:rFonts w:ascii="Axiata Book" w:hAnsi="Axiata Book" w:cs="Axiata Book"/>
        </w:rPr>
        <w:t xml:space="preserve"> Axiata Limited (hereinafter referred to as </w:t>
      </w:r>
      <w:proofErr w:type="spellStart"/>
      <w:r w:rsidRPr="00651E18">
        <w:rPr>
          <w:rFonts w:ascii="Axiata Book" w:hAnsi="Axiata Book" w:cs="Axiata Book"/>
        </w:rPr>
        <w:t>Robi</w:t>
      </w:r>
      <w:proofErr w:type="spellEnd"/>
      <w:r w:rsidRPr="00651E18">
        <w:rPr>
          <w:rFonts w:ascii="Axiata Book" w:hAnsi="Axiata Book" w:cs="Axiata Book"/>
        </w:rPr>
        <w:t xml:space="preserve">) holds large amounts of personal and confidential information. </w:t>
      </w:r>
      <w:proofErr w:type="spellStart"/>
      <w:r w:rsidRPr="00651E18">
        <w:rPr>
          <w:rFonts w:ascii="Axiata Book" w:hAnsi="Axiata Book" w:cs="Axiata Book"/>
        </w:rPr>
        <w:t>Robi</w:t>
      </w:r>
      <w:proofErr w:type="spellEnd"/>
      <w:r w:rsidRPr="00651E18">
        <w:rPr>
          <w:rFonts w:ascii="Axiata Book" w:hAnsi="Axiata Book" w:cs="Axiata Book"/>
        </w:rPr>
        <w:t xml:space="preserve"> is committed to process this information in a way that assures its confidentiality, integrity and availability </w:t>
      </w:r>
      <w:proofErr w:type="gramStart"/>
      <w:r w:rsidRPr="00651E18">
        <w:rPr>
          <w:rFonts w:ascii="Axiata Book" w:hAnsi="Axiata Book" w:cs="Axiata Book"/>
        </w:rPr>
        <w:t>at all times</w:t>
      </w:r>
      <w:proofErr w:type="gramEnd"/>
      <w:r w:rsidRPr="00651E18">
        <w:rPr>
          <w:rFonts w:ascii="Axiata Book" w:hAnsi="Axiata Book" w:cs="Axiata Book"/>
        </w:rPr>
        <w:t xml:space="preserve">. System &amp; Network </w:t>
      </w:r>
      <w:r>
        <w:rPr>
          <w:rFonts w:ascii="Axiata Book" w:hAnsi="Axiata Book" w:cs="Axiata Book"/>
        </w:rPr>
        <w:t xml:space="preserve">Security can </w:t>
      </w:r>
      <w:r w:rsidRPr="00651E18">
        <w:rPr>
          <w:rFonts w:ascii="Axiata Book" w:hAnsi="Axiata Book" w:cs="Axiata Book"/>
        </w:rPr>
        <w:t>be compromised by vulnerabilities, inadequate configuration or deficiency in the design and maintenance of solutions / information systems. The objective of this section is to provide basic cyber security requirements that supplier should be identified, justified and built into information systems from its conception and design, through creation and maintenance.</w:t>
      </w:r>
      <w:r>
        <w:rPr>
          <w:rFonts w:ascii="Axiata Book" w:hAnsi="Axiata Book" w:cs="Axiata Book"/>
        </w:rPr>
        <w:t xml:space="preserve"> </w:t>
      </w:r>
      <w:r w:rsidR="000A46DE" w:rsidRPr="00F37437">
        <w:rPr>
          <w:rFonts w:ascii="Axiata Book" w:hAnsi="Axiata Book" w:cs="Axiata Book"/>
        </w:rPr>
        <w:t>Service provider must follow below mention</w:t>
      </w:r>
      <w:r>
        <w:rPr>
          <w:rFonts w:ascii="Axiata Book" w:hAnsi="Axiata Book" w:cs="Axiata Book"/>
        </w:rPr>
        <w:t xml:space="preserve"> requirement from solution build to </w:t>
      </w:r>
      <w:r w:rsidR="000A46DE" w:rsidRPr="00F37437">
        <w:rPr>
          <w:rFonts w:ascii="Axiata Book" w:hAnsi="Axiata Book" w:cs="Axiata Book"/>
        </w:rPr>
        <w:t>warranty and post warranty AMC period.</w:t>
      </w:r>
    </w:p>
    <w:p w:rsidR="00F37437" w:rsidRPr="00F37437" w:rsidRDefault="00F37437" w:rsidP="00F37437">
      <w:pPr>
        <w:pStyle w:val="NoSpacing"/>
        <w:spacing w:line="276" w:lineRule="auto"/>
        <w:ind w:firstLine="360"/>
        <w:jc w:val="both"/>
        <w:rPr>
          <w:rFonts w:ascii="Axiata Book" w:hAnsi="Axiata Book" w:cs="Axiata Book"/>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4995"/>
        <w:gridCol w:w="900"/>
        <w:gridCol w:w="1710"/>
        <w:gridCol w:w="1980"/>
      </w:tblGrid>
      <w:tr w:rsidR="00656141" w:rsidRPr="00B036B5" w:rsidTr="00B23A2C">
        <w:trPr>
          <w:trHeight w:val="305"/>
          <w:jc w:val="center"/>
        </w:trPr>
        <w:tc>
          <w:tcPr>
            <w:tcW w:w="765" w:type="dxa"/>
            <w:shd w:val="clear" w:color="auto" w:fill="FFC000"/>
            <w:vAlign w:val="center"/>
            <w:hideMark/>
          </w:tcPr>
          <w:p w:rsidR="00656141" w:rsidRPr="00B036B5" w:rsidRDefault="00656141" w:rsidP="009F656E">
            <w:pPr>
              <w:spacing w:after="0" w:line="240" w:lineRule="auto"/>
              <w:jc w:val="center"/>
              <w:rPr>
                <w:rFonts w:eastAsia="Times New Roman"/>
                <w:b/>
                <w:bCs/>
                <w:sz w:val="20"/>
              </w:rPr>
            </w:pPr>
            <w:r w:rsidRPr="00B036B5">
              <w:rPr>
                <w:rFonts w:eastAsia="Times New Roman"/>
                <w:b/>
                <w:bCs/>
                <w:sz w:val="20"/>
              </w:rPr>
              <w:t>SL</w:t>
            </w:r>
          </w:p>
        </w:tc>
        <w:tc>
          <w:tcPr>
            <w:tcW w:w="4995" w:type="dxa"/>
            <w:shd w:val="clear" w:color="auto" w:fill="FFC000"/>
            <w:vAlign w:val="center"/>
            <w:hideMark/>
          </w:tcPr>
          <w:p w:rsidR="00656141" w:rsidRPr="00B036B5" w:rsidRDefault="00656141" w:rsidP="009F656E">
            <w:pPr>
              <w:spacing w:after="0" w:line="240" w:lineRule="auto"/>
              <w:jc w:val="center"/>
              <w:rPr>
                <w:rFonts w:eastAsia="Times New Roman"/>
                <w:b/>
                <w:bCs/>
                <w:sz w:val="20"/>
              </w:rPr>
            </w:pPr>
            <w:r w:rsidRPr="00B036B5">
              <w:rPr>
                <w:rFonts w:eastAsia="Times New Roman"/>
                <w:b/>
                <w:bCs/>
                <w:sz w:val="20"/>
              </w:rPr>
              <w:t xml:space="preserve">Specification of the item(s) as per </w:t>
            </w:r>
            <w:proofErr w:type="spellStart"/>
            <w:r w:rsidRPr="00B036B5">
              <w:rPr>
                <w:rFonts w:eastAsia="Times New Roman"/>
                <w:b/>
                <w:bCs/>
                <w:sz w:val="20"/>
              </w:rPr>
              <w:t>RAx</w:t>
            </w:r>
            <w:proofErr w:type="spellEnd"/>
            <w:r w:rsidRPr="00B036B5">
              <w:rPr>
                <w:rFonts w:eastAsia="Times New Roman"/>
                <w:b/>
                <w:bCs/>
                <w:sz w:val="20"/>
              </w:rPr>
              <w:t xml:space="preserve"> requirement</w:t>
            </w:r>
          </w:p>
        </w:tc>
        <w:tc>
          <w:tcPr>
            <w:tcW w:w="900" w:type="dxa"/>
            <w:shd w:val="clear" w:color="auto" w:fill="FFC000"/>
            <w:noWrap/>
            <w:vAlign w:val="center"/>
            <w:hideMark/>
          </w:tcPr>
          <w:p w:rsidR="00656141" w:rsidRPr="00B036B5" w:rsidRDefault="00656141" w:rsidP="009F656E">
            <w:pPr>
              <w:spacing w:after="0" w:line="240" w:lineRule="auto"/>
              <w:jc w:val="center"/>
              <w:rPr>
                <w:rFonts w:eastAsia="Times New Roman"/>
                <w:b/>
                <w:bCs/>
                <w:sz w:val="20"/>
              </w:rPr>
            </w:pPr>
            <w:r w:rsidRPr="00B036B5">
              <w:rPr>
                <w:rFonts w:eastAsia="Times New Roman"/>
                <w:b/>
                <w:bCs/>
                <w:sz w:val="20"/>
              </w:rPr>
              <w:t>Impact</w:t>
            </w:r>
          </w:p>
        </w:tc>
        <w:tc>
          <w:tcPr>
            <w:tcW w:w="1710" w:type="dxa"/>
            <w:shd w:val="clear" w:color="auto" w:fill="FFC000"/>
            <w:vAlign w:val="center"/>
            <w:hideMark/>
          </w:tcPr>
          <w:p w:rsidR="00656141" w:rsidRPr="00B036B5" w:rsidRDefault="00656141" w:rsidP="009F656E">
            <w:pPr>
              <w:spacing w:after="0" w:line="240" w:lineRule="auto"/>
              <w:jc w:val="center"/>
              <w:rPr>
                <w:rFonts w:eastAsia="Times New Roman"/>
                <w:color w:val="000000"/>
                <w:sz w:val="20"/>
              </w:rPr>
            </w:pPr>
            <w:r w:rsidRPr="00B036B5">
              <w:rPr>
                <w:sz w:val="20"/>
              </w:rPr>
              <w:t>Specification as offered by the bidder (bidder shall have to mention detail specification of his offered item(s) in this column)</w:t>
            </w:r>
          </w:p>
        </w:tc>
        <w:tc>
          <w:tcPr>
            <w:tcW w:w="1980" w:type="dxa"/>
            <w:shd w:val="clear" w:color="auto" w:fill="FFC000"/>
            <w:vAlign w:val="bottom"/>
            <w:hideMark/>
          </w:tcPr>
          <w:p w:rsidR="00656141" w:rsidRPr="00B036B5" w:rsidRDefault="00656141" w:rsidP="009F656E">
            <w:pPr>
              <w:spacing w:after="0" w:line="240" w:lineRule="auto"/>
              <w:jc w:val="center"/>
              <w:rPr>
                <w:sz w:val="20"/>
              </w:rPr>
            </w:pPr>
            <w:r w:rsidRPr="00B036B5">
              <w:rPr>
                <w:sz w:val="20"/>
              </w:rPr>
              <w:t>Bidder Compliance</w:t>
            </w:r>
          </w:p>
          <w:p w:rsidR="00656141" w:rsidRPr="00B036B5" w:rsidRDefault="00656141" w:rsidP="009F656E">
            <w:pPr>
              <w:spacing w:after="0" w:line="240" w:lineRule="auto"/>
              <w:rPr>
                <w:rFonts w:eastAsia="Times New Roman"/>
                <w:sz w:val="20"/>
              </w:rPr>
            </w:pPr>
            <w:r w:rsidRPr="00B036B5">
              <w:rPr>
                <w:sz w:val="20"/>
              </w:rPr>
              <w:t>(Complied/Not Complied)      (bidder shall have to mention whether his offered specification complies with that of AXB requirement or not)</w:t>
            </w:r>
          </w:p>
        </w:tc>
      </w:tr>
      <w:tr w:rsidR="004F3B97" w:rsidRPr="00B036B5" w:rsidTr="00FD7E82">
        <w:trPr>
          <w:trHeight w:val="800"/>
          <w:jc w:val="center"/>
        </w:trPr>
        <w:tc>
          <w:tcPr>
            <w:tcW w:w="765" w:type="dxa"/>
            <w:shd w:val="clear" w:color="auto" w:fill="auto"/>
            <w:vAlign w:val="center"/>
          </w:tcPr>
          <w:p w:rsidR="004F3B97" w:rsidRPr="004F3B97" w:rsidRDefault="004F3B97" w:rsidP="00F87012">
            <w:pPr>
              <w:spacing w:before="60" w:after="60" w:line="240" w:lineRule="auto"/>
              <w:jc w:val="center"/>
              <w:rPr>
                <w:rFonts w:eastAsia="Times New Roman"/>
                <w:b/>
                <w:sz w:val="20"/>
              </w:rPr>
            </w:pPr>
            <w:r w:rsidRPr="004F3B97">
              <w:rPr>
                <w:rFonts w:eastAsia="Times New Roman"/>
                <w:b/>
                <w:sz w:val="20"/>
              </w:rPr>
              <w:t>1.</w:t>
            </w:r>
            <w:r w:rsidR="00F37437">
              <w:rPr>
                <w:rFonts w:eastAsia="Times New Roman"/>
                <w:b/>
                <w:sz w:val="20"/>
              </w:rPr>
              <w:t>2</w:t>
            </w:r>
          </w:p>
        </w:tc>
        <w:tc>
          <w:tcPr>
            <w:tcW w:w="5895" w:type="dxa"/>
            <w:gridSpan w:val="2"/>
            <w:shd w:val="clear" w:color="auto" w:fill="auto"/>
            <w:vAlign w:val="center"/>
          </w:tcPr>
          <w:p w:rsidR="004F3B97" w:rsidRPr="004F3B97" w:rsidRDefault="004F3B97" w:rsidP="004F3B97">
            <w:pPr>
              <w:spacing w:before="60" w:after="60" w:line="240" w:lineRule="auto"/>
              <w:rPr>
                <w:rFonts w:eastAsia="Times New Roman"/>
                <w:sz w:val="20"/>
              </w:rPr>
            </w:pPr>
            <w:r w:rsidRPr="004F3B97">
              <w:rPr>
                <w:b/>
                <w:sz w:val="20"/>
              </w:rPr>
              <w:t>Information &amp;</w:t>
            </w:r>
            <w:r w:rsidRPr="004F3B97">
              <w:rPr>
                <w:sz w:val="20"/>
              </w:rPr>
              <w:t xml:space="preserve"> </w:t>
            </w:r>
            <w:r w:rsidRPr="004F3B97">
              <w:rPr>
                <w:b/>
                <w:sz w:val="20"/>
              </w:rPr>
              <w:t>Cyber Security in Solution Acquisition/ Upgradation:</w:t>
            </w:r>
          </w:p>
        </w:tc>
        <w:tc>
          <w:tcPr>
            <w:tcW w:w="1710" w:type="dxa"/>
            <w:shd w:val="clear" w:color="auto" w:fill="auto"/>
            <w:vAlign w:val="center"/>
          </w:tcPr>
          <w:p w:rsidR="004F3B97" w:rsidRPr="00B036B5" w:rsidRDefault="004F3B97" w:rsidP="003B5686">
            <w:pPr>
              <w:spacing w:before="60" w:after="60" w:line="240" w:lineRule="auto"/>
              <w:rPr>
                <w:rFonts w:eastAsia="Times New Roman"/>
                <w:color w:val="000000"/>
                <w:sz w:val="20"/>
              </w:rPr>
            </w:pPr>
          </w:p>
        </w:tc>
        <w:tc>
          <w:tcPr>
            <w:tcW w:w="1980" w:type="dxa"/>
            <w:shd w:val="clear" w:color="auto" w:fill="auto"/>
            <w:vAlign w:val="bottom"/>
          </w:tcPr>
          <w:p w:rsidR="004F3B97" w:rsidRPr="00B036B5" w:rsidRDefault="004F3B97" w:rsidP="003B5686">
            <w:pPr>
              <w:spacing w:before="60" w:after="60" w:line="240" w:lineRule="auto"/>
              <w:rPr>
                <w:rFonts w:eastAsia="Times New Roman"/>
                <w:sz w:val="20"/>
              </w:rPr>
            </w:pPr>
          </w:p>
        </w:tc>
      </w:tr>
      <w:tr w:rsidR="000306B1" w:rsidRPr="00B036B5" w:rsidTr="00F87012">
        <w:trPr>
          <w:trHeight w:val="800"/>
          <w:jc w:val="center"/>
        </w:trPr>
        <w:tc>
          <w:tcPr>
            <w:tcW w:w="765" w:type="dxa"/>
            <w:shd w:val="clear" w:color="auto" w:fill="auto"/>
            <w:vAlign w:val="center"/>
          </w:tcPr>
          <w:p w:rsidR="000306B1" w:rsidRPr="00B036B5" w:rsidRDefault="00A970E1" w:rsidP="00F87012">
            <w:pPr>
              <w:spacing w:before="60" w:after="60" w:line="240" w:lineRule="auto"/>
              <w:jc w:val="center"/>
              <w:rPr>
                <w:rFonts w:eastAsia="Times New Roman"/>
                <w:sz w:val="20"/>
              </w:rPr>
            </w:pPr>
            <w:r w:rsidRPr="00B036B5">
              <w:rPr>
                <w:rFonts w:eastAsia="Times New Roman"/>
                <w:sz w:val="20"/>
              </w:rPr>
              <w:t>1.</w:t>
            </w:r>
            <w:r w:rsidR="00F37437">
              <w:rPr>
                <w:rFonts w:eastAsia="Times New Roman"/>
                <w:sz w:val="20"/>
              </w:rPr>
              <w:t>2.1</w:t>
            </w:r>
          </w:p>
        </w:tc>
        <w:tc>
          <w:tcPr>
            <w:tcW w:w="4995" w:type="dxa"/>
            <w:shd w:val="clear" w:color="auto" w:fill="auto"/>
            <w:vAlign w:val="center"/>
          </w:tcPr>
          <w:p w:rsidR="000306B1" w:rsidRPr="00B036B5" w:rsidRDefault="00F37437" w:rsidP="00F87012">
            <w:pPr>
              <w:pStyle w:val="Heading6"/>
              <w:spacing w:before="60"/>
              <w:rPr>
                <w:rFonts w:ascii="Axiata Book" w:hAnsi="Axiata Book" w:cs="Axiata Book"/>
                <w:b w:val="0"/>
                <w:color w:val="000000"/>
                <w:sz w:val="20"/>
              </w:rPr>
            </w:pPr>
            <w:r w:rsidRPr="00F37437">
              <w:rPr>
                <w:rFonts w:ascii="Axiata Book" w:hAnsi="Axiata Book" w:cs="Axiata Book"/>
                <w:b w:val="0"/>
                <w:sz w:val="20"/>
              </w:rPr>
              <w:t xml:space="preserve">Suppliers shall participate and assist </w:t>
            </w:r>
            <w:proofErr w:type="spellStart"/>
            <w:r w:rsidRPr="00F37437">
              <w:rPr>
                <w:rFonts w:ascii="Axiata Book" w:hAnsi="Axiata Book" w:cs="Axiata Book"/>
                <w:b w:val="0"/>
                <w:sz w:val="20"/>
              </w:rPr>
              <w:t>Robi</w:t>
            </w:r>
            <w:proofErr w:type="spellEnd"/>
            <w:r w:rsidRPr="00F37437">
              <w:rPr>
                <w:rFonts w:ascii="Axiata Book" w:hAnsi="Axiata Book" w:cs="Axiata Book"/>
                <w:b w:val="0"/>
                <w:sz w:val="20"/>
              </w:rPr>
              <w:t xml:space="preserve"> Axiata Limited in undertaking the necessary precautions with required control implementation to achieve the </w:t>
            </w:r>
            <w:proofErr w:type="gramStart"/>
            <w:r w:rsidRPr="00F37437">
              <w:rPr>
                <w:rFonts w:ascii="Axiata Book" w:hAnsi="Axiata Book" w:cs="Axiata Book"/>
                <w:b w:val="0"/>
                <w:sz w:val="20"/>
              </w:rPr>
              <w:t>Minimum Security</w:t>
            </w:r>
            <w:proofErr w:type="gramEnd"/>
            <w:r w:rsidRPr="00F37437">
              <w:rPr>
                <w:rFonts w:ascii="Axiata Book" w:hAnsi="Axiata Book" w:cs="Axiata Book"/>
                <w:b w:val="0"/>
                <w:sz w:val="20"/>
              </w:rPr>
              <w:t xml:space="preserve"> Requirement stated in “Information Security Check List” mention in Annex 1. Supplier shall also comply with the relevant laws, rules and guidelines of the land in the context of Information/</w:t>
            </w:r>
            <w:r>
              <w:rPr>
                <w:rFonts w:ascii="Axiata Book" w:hAnsi="Axiata Book" w:cs="Axiata Book"/>
                <w:b w:val="0"/>
                <w:sz w:val="20"/>
              </w:rPr>
              <w:t xml:space="preserve"> </w:t>
            </w:r>
            <w:r w:rsidRPr="00F37437">
              <w:rPr>
                <w:rFonts w:ascii="Axiata Book" w:hAnsi="Axiata Book" w:cs="Axiata Book"/>
                <w:b w:val="0"/>
                <w:sz w:val="20"/>
              </w:rPr>
              <w:t>Cyber/Digital Security.</w:t>
            </w:r>
          </w:p>
        </w:tc>
        <w:tc>
          <w:tcPr>
            <w:tcW w:w="900" w:type="dxa"/>
            <w:shd w:val="clear" w:color="000000" w:fill="FFFFFF"/>
            <w:noWrap/>
            <w:vAlign w:val="center"/>
          </w:tcPr>
          <w:p w:rsidR="000306B1" w:rsidRPr="00B036B5" w:rsidRDefault="00B87911" w:rsidP="007358AA">
            <w:pPr>
              <w:spacing w:before="60" w:after="60" w:line="240" w:lineRule="auto"/>
              <w:jc w:val="center"/>
              <w:rPr>
                <w:rFonts w:eastAsia="Times New Roman"/>
                <w:sz w:val="20"/>
              </w:rPr>
            </w:pPr>
            <w:r w:rsidRPr="00B036B5">
              <w:rPr>
                <w:rFonts w:eastAsia="Times New Roman"/>
                <w:sz w:val="20"/>
              </w:rPr>
              <w:t>Critical</w:t>
            </w:r>
          </w:p>
        </w:tc>
        <w:tc>
          <w:tcPr>
            <w:tcW w:w="1710" w:type="dxa"/>
            <w:shd w:val="clear" w:color="auto" w:fill="auto"/>
            <w:vAlign w:val="center"/>
          </w:tcPr>
          <w:p w:rsidR="000306B1" w:rsidRPr="00B036B5" w:rsidRDefault="000306B1" w:rsidP="003B5686">
            <w:pPr>
              <w:spacing w:before="60" w:after="60" w:line="240" w:lineRule="auto"/>
              <w:rPr>
                <w:rFonts w:eastAsia="Times New Roman"/>
                <w:color w:val="000000"/>
                <w:sz w:val="20"/>
              </w:rPr>
            </w:pPr>
          </w:p>
        </w:tc>
        <w:tc>
          <w:tcPr>
            <w:tcW w:w="1980" w:type="dxa"/>
            <w:shd w:val="clear" w:color="auto" w:fill="auto"/>
            <w:vAlign w:val="bottom"/>
            <w:hideMark/>
          </w:tcPr>
          <w:p w:rsidR="000306B1" w:rsidRPr="00B036B5" w:rsidRDefault="000306B1" w:rsidP="003B5686">
            <w:pPr>
              <w:spacing w:before="60" w:after="60" w:line="240" w:lineRule="auto"/>
              <w:rPr>
                <w:rFonts w:eastAsia="Times New Roman"/>
                <w:sz w:val="20"/>
              </w:rPr>
            </w:pPr>
          </w:p>
        </w:tc>
      </w:tr>
      <w:tr w:rsidR="000306B1" w:rsidRPr="00B036B5" w:rsidTr="00F87012">
        <w:trPr>
          <w:trHeight w:val="1097"/>
          <w:jc w:val="center"/>
        </w:trPr>
        <w:tc>
          <w:tcPr>
            <w:tcW w:w="765" w:type="dxa"/>
            <w:shd w:val="clear" w:color="auto" w:fill="auto"/>
            <w:vAlign w:val="center"/>
          </w:tcPr>
          <w:p w:rsidR="000306B1" w:rsidRPr="00B036B5" w:rsidRDefault="00A970E1" w:rsidP="00F87012">
            <w:pPr>
              <w:spacing w:before="60" w:after="60" w:line="240" w:lineRule="auto"/>
              <w:jc w:val="center"/>
              <w:rPr>
                <w:rFonts w:eastAsia="Times New Roman"/>
                <w:sz w:val="20"/>
              </w:rPr>
            </w:pPr>
            <w:r w:rsidRPr="00B036B5">
              <w:rPr>
                <w:rFonts w:eastAsia="Times New Roman"/>
                <w:sz w:val="20"/>
              </w:rPr>
              <w:t>1.2</w:t>
            </w:r>
            <w:r w:rsidR="00F37437">
              <w:rPr>
                <w:rFonts w:eastAsia="Times New Roman"/>
                <w:sz w:val="20"/>
              </w:rPr>
              <w:t>.2</w:t>
            </w:r>
          </w:p>
        </w:tc>
        <w:tc>
          <w:tcPr>
            <w:tcW w:w="4995" w:type="dxa"/>
            <w:shd w:val="clear" w:color="auto" w:fill="auto"/>
            <w:vAlign w:val="center"/>
          </w:tcPr>
          <w:p w:rsidR="000306B1" w:rsidRPr="00B036B5" w:rsidRDefault="00F37437" w:rsidP="007358AA">
            <w:pPr>
              <w:pStyle w:val="Heading6"/>
              <w:spacing w:before="60"/>
              <w:jc w:val="both"/>
              <w:rPr>
                <w:rFonts w:ascii="Axiata Book" w:hAnsi="Axiata Book" w:cs="Axiata Book"/>
                <w:b w:val="0"/>
                <w:sz w:val="20"/>
              </w:rPr>
            </w:pPr>
            <w:r w:rsidRPr="00F37437">
              <w:rPr>
                <w:rFonts w:ascii="Axiata Book" w:hAnsi="Axiata Book" w:cs="Axiata Book"/>
                <w:b w:val="0"/>
                <w:sz w:val="20"/>
              </w:rPr>
              <w:t>Suppliers shall take appropriate legal, organizational, and technical measures, related to information and Cyber Security to protect the confidentiality, integrity, availability &amp; privacy of data managed, stored and processed in their provided solutions avoiding any accidental or unlawful disposal, loss, alteration, and/or unauthorized disclosure.</w:t>
            </w:r>
          </w:p>
        </w:tc>
        <w:tc>
          <w:tcPr>
            <w:tcW w:w="900" w:type="dxa"/>
            <w:shd w:val="clear" w:color="000000" w:fill="FFFFFF"/>
            <w:noWrap/>
            <w:vAlign w:val="center"/>
          </w:tcPr>
          <w:p w:rsidR="000306B1" w:rsidRPr="00B036B5" w:rsidRDefault="00B87911" w:rsidP="007358AA">
            <w:pPr>
              <w:spacing w:before="60" w:after="60" w:line="240" w:lineRule="auto"/>
              <w:jc w:val="center"/>
              <w:rPr>
                <w:rFonts w:eastAsia="Times New Roman"/>
                <w:sz w:val="20"/>
              </w:rPr>
            </w:pPr>
            <w:r w:rsidRPr="00B036B5">
              <w:rPr>
                <w:rFonts w:eastAsia="Times New Roman"/>
                <w:sz w:val="20"/>
              </w:rPr>
              <w:t>Critical</w:t>
            </w:r>
          </w:p>
        </w:tc>
        <w:tc>
          <w:tcPr>
            <w:tcW w:w="1710" w:type="dxa"/>
            <w:shd w:val="clear" w:color="auto" w:fill="auto"/>
            <w:vAlign w:val="center"/>
          </w:tcPr>
          <w:p w:rsidR="000306B1" w:rsidRPr="00B036B5" w:rsidRDefault="000306B1" w:rsidP="003B5686">
            <w:pPr>
              <w:spacing w:before="60" w:after="60" w:line="240" w:lineRule="auto"/>
              <w:rPr>
                <w:rFonts w:eastAsia="Times New Roman"/>
                <w:color w:val="000000"/>
                <w:sz w:val="20"/>
              </w:rPr>
            </w:pPr>
          </w:p>
        </w:tc>
        <w:tc>
          <w:tcPr>
            <w:tcW w:w="1980" w:type="dxa"/>
            <w:shd w:val="clear" w:color="auto" w:fill="auto"/>
            <w:vAlign w:val="bottom"/>
            <w:hideMark/>
          </w:tcPr>
          <w:p w:rsidR="000306B1" w:rsidRPr="00B036B5" w:rsidRDefault="000306B1" w:rsidP="003B5686">
            <w:pPr>
              <w:spacing w:before="60" w:after="60" w:line="240" w:lineRule="auto"/>
              <w:rPr>
                <w:rFonts w:eastAsia="Times New Roman"/>
                <w:sz w:val="20"/>
              </w:rPr>
            </w:pPr>
          </w:p>
        </w:tc>
      </w:tr>
      <w:tr w:rsidR="00716D32" w:rsidRPr="00B036B5" w:rsidTr="00F87012">
        <w:trPr>
          <w:trHeight w:val="620"/>
          <w:jc w:val="center"/>
        </w:trPr>
        <w:tc>
          <w:tcPr>
            <w:tcW w:w="765" w:type="dxa"/>
            <w:shd w:val="clear" w:color="auto" w:fill="auto"/>
            <w:vAlign w:val="center"/>
          </w:tcPr>
          <w:p w:rsidR="00716D32" w:rsidRPr="00B036B5" w:rsidRDefault="00A970E1" w:rsidP="00F87012">
            <w:pPr>
              <w:spacing w:before="60" w:after="60" w:line="240" w:lineRule="auto"/>
              <w:jc w:val="center"/>
              <w:rPr>
                <w:rFonts w:eastAsia="Times New Roman"/>
                <w:sz w:val="20"/>
              </w:rPr>
            </w:pPr>
            <w:r w:rsidRPr="00B036B5">
              <w:rPr>
                <w:rFonts w:eastAsia="Times New Roman"/>
                <w:sz w:val="20"/>
              </w:rPr>
              <w:t>1.</w:t>
            </w:r>
            <w:r w:rsidR="00F37437">
              <w:rPr>
                <w:rFonts w:eastAsia="Times New Roman"/>
                <w:sz w:val="20"/>
              </w:rPr>
              <w:t>2.</w:t>
            </w:r>
            <w:r w:rsidRPr="00B036B5">
              <w:rPr>
                <w:rFonts w:eastAsia="Times New Roman"/>
                <w:sz w:val="20"/>
              </w:rPr>
              <w:t>3</w:t>
            </w:r>
          </w:p>
        </w:tc>
        <w:tc>
          <w:tcPr>
            <w:tcW w:w="4995" w:type="dxa"/>
            <w:shd w:val="clear" w:color="auto" w:fill="auto"/>
          </w:tcPr>
          <w:p w:rsidR="00716D32" w:rsidRPr="00B036B5" w:rsidRDefault="00F37437" w:rsidP="007358AA">
            <w:pPr>
              <w:spacing w:before="60" w:after="60"/>
              <w:jc w:val="both"/>
              <w:rPr>
                <w:sz w:val="20"/>
              </w:rPr>
            </w:pPr>
            <w:r w:rsidRPr="00F37437">
              <w:rPr>
                <w:rFonts w:eastAsia="Calibri"/>
                <w:sz w:val="20"/>
              </w:rPr>
              <w:t xml:space="preserve">Supplier must ensure that the solution (hardware, software and firmware) provided by them is free from any kind malicious code. (“Malicious Code” is a piece of coding/application that can compromise the confidentiality, integrity and availability of that </w:t>
            </w:r>
            <w:proofErr w:type="gramStart"/>
            <w:r w:rsidRPr="00F37437">
              <w:rPr>
                <w:rFonts w:eastAsia="Calibri"/>
                <w:sz w:val="20"/>
              </w:rPr>
              <w:t>particular or</w:t>
            </w:r>
            <w:proofErr w:type="gramEnd"/>
            <w:r w:rsidRPr="00F37437">
              <w:rPr>
                <w:rFonts w:eastAsia="Calibri"/>
                <w:sz w:val="20"/>
              </w:rPr>
              <w:t xml:space="preserve"> interconnected solution. Malicious code </w:t>
            </w:r>
            <w:r w:rsidRPr="00F37437">
              <w:rPr>
                <w:rFonts w:eastAsia="Calibri"/>
                <w:sz w:val="20"/>
              </w:rPr>
              <w:lastRenderedPageBreak/>
              <w:t xml:space="preserve">also </w:t>
            </w:r>
            <w:proofErr w:type="gramStart"/>
            <w:r w:rsidRPr="00F37437">
              <w:rPr>
                <w:rFonts w:eastAsia="Calibri"/>
                <w:sz w:val="20"/>
              </w:rPr>
              <w:t>help</w:t>
            </w:r>
            <w:proofErr w:type="gramEnd"/>
            <w:r w:rsidRPr="00F37437">
              <w:rPr>
                <w:rFonts w:eastAsia="Calibri"/>
                <w:sz w:val="20"/>
              </w:rPr>
              <w:t xml:space="preserve"> breaching data, privacy and to be controlled by a remote computer)</w:t>
            </w:r>
          </w:p>
        </w:tc>
        <w:tc>
          <w:tcPr>
            <w:tcW w:w="900" w:type="dxa"/>
            <w:shd w:val="clear" w:color="000000" w:fill="FFFFFF"/>
            <w:noWrap/>
            <w:vAlign w:val="center"/>
          </w:tcPr>
          <w:p w:rsidR="00716D32" w:rsidRPr="00B036B5" w:rsidRDefault="00716D32" w:rsidP="007358AA">
            <w:pPr>
              <w:spacing w:before="60" w:after="60" w:line="240" w:lineRule="auto"/>
              <w:jc w:val="center"/>
              <w:rPr>
                <w:rFonts w:eastAsia="Times New Roman"/>
                <w:sz w:val="20"/>
              </w:rPr>
            </w:pPr>
            <w:r w:rsidRPr="00B036B5">
              <w:rPr>
                <w:rFonts w:eastAsia="Times New Roman"/>
                <w:sz w:val="20"/>
              </w:rPr>
              <w:lastRenderedPageBreak/>
              <w:t>Critical</w:t>
            </w:r>
          </w:p>
        </w:tc>
        <w:tc>
          <w:tcPr>
            <w:tcW w:w="1710" w:type="dxa"/>
            <w:shd w:val="clear" w:color="auto" w:fill="auto"/>
            <w:vAlign w:val="center"/>
          </w:tcPr>
          <w:p w:rsidR="00716D32" w:rsidRPr="00B036B5" w:rsidRDefault="00716D32" w:rsidP="003B5686">
            <w:pPr>
              <w:spacing w:before="60" w:after="60" w:line="240" w:lineRule="auto"/>
              <w:rPr>
                <w:rFonts w:eastAsia="Times New Roman"/>
                <w:color w:val="000000"/>
                <w:sz w:val="20"/>
              </w:rPr>
            </w:pPr>
          </w:p>
        </w:tc>
        <w:tc>
          <w:tcPr>
            <w:tcW w:w="1980" w:type="dxa"/>
            <w:shd w:val="clear" w:color="auto" w:fill="auto"/>
            <w:vAlign w:val="bottom"/>
            <w:hideMark/>
          </w:tcPr>
          <w:p w:rsidR="00716D32" w:rsidRPr="00B036B5" w:rsidRDefault="00716D32" w:rsidP="003B5686">
            <w:pPr>
              <w:spacing w:before="60" w:after="60" w:line="240" w:lineRule="auto"/>
              <w:rPr>
                <w:rFonts w:eastAsia="Times New Roman"/>
                <w:sz w:val="20"/>
              </w:rPr>
            </w:pPr>
          </w:p>
        </w:tc>
      </w:tr>
      <w:tr w:rsidR="004F3B97" w:rsidRPr="00B036B5" w:rsidTr="004F3B97">
        <w:trPr>
          <w:trHeight w:val="620"/>
          <w:jc w:val="center"/>
        </w:trPr>
        <w:tc>
          <w:tcPr>
            <w:tcW w:w="765" w:type="dxa"/>
            <w:shd w:val="clear" w:color="auto" w:fill="auto"/>
            <w:vAlign w:val="center"/>
          </w:tcPr>
          <w:p w:rsidR="004F3B97" w:rsidRPr="004F3B97" w:rsidRDefault="00F37437" w:rsidP="004F3B97">
            <w:pPr>
              <w:spacing w:before="60" w:after="60" w:line="240" w:lineRule="auto"/>
              <w:jc w:val="center"/>
              <w:rPr>
                <w:rFonts w:eastAsia="Times New Roman"/>
                <w:b/>
                <w:sz w:val="20"/>
              </w:rPr>
            </w:pPr>
            <w:r>
              <w:rPr>
                <w:rFonts w:eastAsia="Times New Roman"/>
                <w:b/>
                <w:sz w:val="20"/>
              </w:rPr>
              <w:t>1.3</w:t>
            </w:r>
          </w:p>
        </w:tc>
        <w:tc>
          <w:tcPr>
            <w:tcW w:w="5895" w:type="dxa"/>
            <w:gridSpan w:val="2"/>
            <w:shd w:val="clear" w:color="auto" w:fill="auto"/>
            <w:vAlign w:val="center"/>
          </w:tcPr>
          <w:p w:rsidR="004F3B97" w:rsidRPr="004F3B97" w:rsidRDefault="004F3B97" w:rsidP="004F3B97">
            <w:pPr>
              <w:pStyle w:val="Heading6"/>
              <w:spacing w:before="60"/>
              <w:rPr>
                <w:rFonts w:ascii="Axiata Book" w:hAnsi="Axiata Book" w:cs="Axiata Book"/>
                <w:b w:val="0"/>
                <w:color w:val="000000"/>
                <w:sz w:val="20"/>
              </w:rPr>
            </w:pPr>
            <w:r w:rsidRPr="004F3B97">
              <w:rPr>
                <w:rFonts w:ascii="Axiata Book" w:hAnsi="Axiata Book" w:cs="Axiata Book"/>
                <w:sz w:val="20"/>
              </w:rPr>
              <w:t>Information &amp; Cyber Security in Operational Maintenance</w:t>
            </w:r>
          </w:p>
        </w:tc>
        <w:tc>
          <w:tcPr>
            <w:tcW w:w="1710" w:type="dxa"/>
            <w:shd w:val="clear" w:color="auto" w:fill="auto"/>
            <w:vAlign w:val="center"/>
          </w:tcPr>
          <w:p w:rsidR="004F3B97" w:rsidRPr="00B036B5" w:rsidRDefault="004F3B97" w:rsidP="003B5686">
            <w:pPr>
              <w:spacing w:before="60" w:after="60" w:line="240" w:lineRule="auto"/>
              <w:rPr>
                <w:rFonts w:eastAsia="Times New Roman"/>
                <w:color w:val="000000"/>
                <w:sz w:val="20"/>
              </w:rPr>
            </w:pPr>
          </w:p>
        </w:tc>
        <w:tc>
          <w:tcPr>
            <w:tcW w:w="1980" w:type="dxa"/>
            <w:shd w:val="clear" w:color="auto" w:fill="auto"/>
            <w:vAlign w:val="bottom"/>
          </w:tcPr>
          <w:p w:rsidR="004F3B97" w:rsidRPr="00B036B5" w:rsidRDefault="004F3B97" w:rsidP="003B5686">
            <w:pPr>
              <w:spacing w:before="60" w:after="60" w:line="240" w:lineRule="auto"/>
              <w:rPr>
                <w:rFonts w:eastAsia="Times New Roman"/>
                <w:sz w:val="20"/>
              </w:rPr>
            </w:pPr>
          </w:p>
        </w:tc>
      </w:tr>
      <w:tr w:rsidR="007F7019" w:rsidRPr="00B036B5" w:rsidTr="00C64778">
        <w:trPr>
          <w:trHeight w:val="620"/>
          <w:jc w:val="center"/>
        </w:trPr>
        <w:tc>
          <w:tcPr>
            <w:tcW w:w="765" w:type="dxa"/>
            <w:shd w:val="clear" w:color="auto" w:fill="auto"/>
            <w:vAlign w:val="center"/>
          </w:tcPr>
          <w:p w:rsidR="007F7019" w:rsidRPr="00B036B5" w:rsidRDefault="00F37437" w:rsidP="00C64778">
            <w:pPr>
              <w:spacing w:before="60" w:after="60" w:line="240" w:lineRule="auto"/>
              <w:jc w:val="center"/>
              <w:rPr>
                <w:rFonts w:eastAsia="Times New Roman"/>
                <w:sz w:val="20"/>
              </w:rPr>
            </w:pPr>
            <w:r>
              <w:rPr>
                <w:rFonts w:eastAsia="Times New Roman"/>
                <w:sz w:val="20"/>
              </w:rPr>
              <w:t>1.3.1</w:t>
            </w:r>
          </w:p>
        </w:tc>
        <w:tc>
          <w:tcPr>
            <w:tcW w:w="4995" w:type="dxa"/>
            <w:shd w:val="clear" w:color="auto" w:fill="auto"/>
            <w:vAlign w:val="center"/>
          </w:tcPr>
          <w:p w:rsidR="007F7019" w:rsidRPr="00B036B5" w:rsidRDefault="009C2489" w:rsidP="00C64778">
            <w:pPr>
              <w:pStyle w:val="Heading6"/>
              <w:spacing w:before="60"/>
              <w:jc w:val="both"/>
              <w:rPr>
                <w:rFonts w:ascii="Axiata Book" w:hAnsi="Axiata Book" w:cs="Axiata Book"/>
                <w:b w:val="0"/>
                <w:sz w:val="20"/>
              </w:rPr>
            </w:pPr>
            <w:r w:rsidRPr="009C2489">
              <w:rPr>
                <w:rFonts w:ascii="Axiata Book" w:hAnsi="Axiata Book" w:cs="Axiata Book"/>
                <w:b w:val="0"/>
                <w:sz w:val="20"/>
              </w:rPr>
              <w:t>All types of information &amp; cyber security related support and services</w:t>
            </w:r>
            <w:r w:rsidR="00C64778">
              <w:rPr>
                <w:rFonts w:ascii="Axiata Book" w:hAnsi="Axiata Book" w:cs="Axiata Book"/>
                <w:b w:val="0"/>
                <w:sz w:val="20"/>
              </w:rPr>
              <w:t xml:space="preserve"> within the scope of the solution</w:t>
            </w:r>
            <w:r w:rsidRPr="009C2489">
              <w:rPr>
                <w:rFonts w:ascii="Axiata Book" w:hAnsi="Axiata Book" w:cs="Axiata Book"/>
                <w:b w:val="0"/>
                <w:sz w:val="20"/>
              </w:rPr>
              <w:t xml:space="preserve"> (</w:t>
            </w:r>
            <w:r w:rsidR="00C64778">
              <w:rPr>
                <w:rFonts w:ascii="Axiata Book" w:hAnsi="Axiata Book" w:cs="Axiata Book"/>
                <w:b w:val="0"/>
                <w:sz w:val="20"/>
              </w:rPr>
              <w:t xml:space="preserve">e.g. likely but </w:t>
            </w:r>
            <w:r w:rsidRPr="009C2489">
              <w:rPr>
                <w:rFonts w:ascii="Axiata Book" w:hAnsi="Axiata Book" w:cs="Axiata Book"/>
                <w:b w:val="0"/>
                <w:sz w:val="20"/>
              </w:rPr>
              <w:t xml:space="preserve">not limited to application, hardware, protocol security, bug fixing, vulnerability remediation, security </w:t>
            </w:r>
            <w:r w:rsidR="00660607" w:rsidRPr="009C2489">
              <w:rPr>
                <w:rFonts w:ascii="Axiata Book" w:hAnsi="Axiata Book" w:cs="Axiata Book"/>
                <w:b w:val="0"/>
                <w:sz w:val="20"/>
              </w:rPr>
              <w:t>hardening etc.</w:t>
            </w:r>
            <w:r w:rsidRPr="009C2489">
              <w:rPr>
                <w:rFonts w:ascii="Axiata Book" w:hAnsi="Axiata Book" w:cs="Axiata Book"/>
                <w:b w:val="0"/>
                <w:sz w:val="20"/>
              </w:rPr>
              <w:t>) shall have to be provided without any extra cost.</w:t>
            </w:r>
          </w:p>
        </w:tc>
        <w:tc>
          <w:tcPr>
            <w:tcW w:w="900" w:type="dxa"/>
            <w:shd w:val="clear" w:color="000000" w:fill="FFFFFF"/>
            <w:noWrap/>
            <w:vAlign w:val="center"/>
          </w:tcPr>
          <w:p w:rsidR="007F7019" w:rsidRPr="00B036B5" w:rsidRDefault="007F7019" w:rsidP="007358AA">
            <w:pPr>
              <w:pStyle w:val="Heading6"/>
              <w:spacing w:before="60"/>
              <w:jc w:val="center"/>
              <w:rPr>
                <w:rFonts w:ascii="Axiata Book" w:hAnsi="Axiata Book" w:cs="Axiata Book"/>
                <w:b w:val="0"/>
                <w:color w:val="000000"/>
                <w:sz w:val="20"/>
              </w:rPr>
            </w:pPr>
            <w:r w:rsidRPr="00B036B5">
              <w:rPr>
                <w:rFonts w:ascii="Axiata Book" w:hAnsi="Axiata Book" w:cs="Axiata Book"/>
                <w:b w:val="0"/>
                <w:color w:val="000000"/>
                <w:sz w:val="20"/>
              </w:rPr>
              <w:t>Critical</w:t>
            </w:r>
          </w:p>
        </w:tc>
        <w:tc>
          <w:tcPr>
            <w:tcW w:w="1710" w:type="dxa"/>
            <w:shd w:val="clear" w:color="auto" w:fill="auto"/>
            <w:vAlign w:val="center"/>
          </w:tcPr>
          <w:p w:rsidR="007F7019" w:rsidRPr="00B036B5" w:rsidRDefault="007F7019" w:rsidP="003B5686">
            <w:pPr>
              <w:spacing w:before="60" w:after="60" w:line="240" w:lineRule="auto"/>
              <w:rPr>
                <w:rFonts w:eastAsia="Times New Roman"/>
                <w:color w:val="000000"/>
                <w:sz w:val="20"/>
              </w:rPr>
            </w:pPr>
          </w:p>
        </w:tc>
        <w:tc>
          <w:tcPr>
            <w:tcW w:w="1980" w:type="dxa"/>
            <w:shd w:val="clear" w:color="auto" w:fill="auto"/>
            <w:vAlign w:val="bottom"/>
          </w:tcPr>
          <w:p w:rsidR="007F7019" w:rsidRPr="00B036B5" w:rsidRDefault="007F7019" w:rsidP="003B5686">
            <w:pPr>
              <w:spacing w:before="60" w:after="60" w:line="240" w:lineRule="auto"/>
              <w:rPr>
                <w:rFonts w:eastAsia="Times New Roman"/>
                <w:sz w:val="20"/>
              </w:rPr>
            </w:pPr>
          </w:p>
        </w:tc>
      </w:tr>
      <w:tr w:rsidR="009C2489" w:rsidRPr="00B036B5" w:rsidTr="00C64778">
        <w:trPr>
          <w:trHeight w:val="620"/>
          <w:jc w:val="center"/>
        </w:trPr>
        <w:tc>
          <w:tcPr>
            <w:tcW w:w="765" w:type="dxa"/>
            <w:shd w:val="clear" w:color="auto" w:fill="auto"/>
            <w:vAlign w:val="center"/>
          </w:tcPr>
          <w:p w:rsidR="009C2489" w:rsidRPr="00B036B5" w:rsidRDefault="00F37437" w:rsidP="00C64778">
            <w:pPr>
              <w:spacing w:before="60" w:after="60" w:line="240" w:lineRule="auto"/>
              <w:jc w:val="center"/>
              <w:rPr>
                <w:rFonts w:eastAsia="Times New Roman"/>
                <w:sz w:val="20"/>
              </w:rPr>
            </w:pPr>
            <w:r>
              <w:rPr>
                <w:rFonts w:eastAsia="Times New Roman"/>
                <w:sz w:val="20"/>
              </w:rPr>
              <w:t>1.3.</w:t>
            </w:r>
            <w:r w:rsidR="004F3B97">
              <w:rPr>
                <w:rFonts w:eastAsia="Times New Roman"/>
                <w:sz w:val="20"/>
              </w:rPr>
              <w:t>2</w:t>
            </w:r>
          </w:p>
        </w:tc>
        <w:tc>
          <w:tcPr>
            <w:tcW w:w="4995" w:type="dxa"/>
            <w:shd w:val="clear" w:color="auto" w:fill="auto"/>
            <w:vAlign w:val="center"/>
          </w:tcPr>
          <w:p w:rsidR="009C2489" w:rsidRPr="009C2489" w:rsidRDefault="009C2489" w:rsidP="007358AA">
            <w:pPr>
              <w:pStyle w:val="Heading6"/>
              <w:spacing w:before="60"/>
              <w:jc w:val="both"/>
              <w:rPr>
                <w:rFonts w:ascii="Axiata Book" w:hAnsi="Axiata Book" w:cs="Axiata Book"/>
                <w:b w:val="0"/>
                <w:sz w:val="20"/>
              </w:rPr>
            </w:pPr>
            <w:r w:rsidRPr="009C2489">
              <w:rPr>
                <w:rFonts w:ascii="Axiata Book" w:hAnsi="Axiata Book" w:cs="Axiata Book"/>
                <w:b w:val="0"/>
                <w:sz w:val="20"/>
              </w:rPr>
              <w:t>Supplier will be responsible to provide emergency support service for managing information &amp; cyber security incident.</w:t>
            </w:r>
          </w:p>
        </w:tc>
        <w:tc>
          <w:tcPr>
            <w:tcW w:w="900" w:type="dxa"/>
            <w:shd w:val="clear" w:color="000000" w:fill="FFFFFF"/>
            <w:noWrap/>
            <w:vAlign w:val="center"/>
          </w:tcPr>
          <w:p w:rsidR="009C2489" w:rsidRPr="00B036B5" w:rsidRDefault="00C64778" w:rsidP="007358AA">
            <w:pPr>
              <w:pStyle w:val="Heading6"/>
              <w:spacing w:before="60"/>
              <w:jc w:val="center"/>
              <w:rPr>
                <w:rFonts w:ascii="Axiata Book" w:hAnsi="Axiata Book" w:cs="Axiata Book"/>
                <w:b w:val="0"/>
                <w:color w:val="000000"/>
                <w:sz w:val="20"/>
              </w:rPr>
            </w:pPr>
            <w:r>
              <w:rPr>
                <w:rFonts w:ascii="Axiata Book" w:hAnsi="Axiata Book" w:cs="Axiata Book"/>
                <w:b w:val="0"/>
                <w:color w:val="000000"/>
                <w:sz w:val="20"/>
              </w:rPr>
              <w:t>Critical</w:t>
            </w:r>
          </w:p>
        </w:tc>
        <w:tc>
          <w:tcPr>
            <w:tcW w:w="1710" w:type="dxa"/>
            <w:shd w:val="clear" w:color="auto" w:fill="auto"/>
            <w:vAlign w:val="center"/>
          </w:tcPr>
          <w:p w:rsidR="009C2489" w:rsidRPr="00B036B5" w:rsidRDefault="009C2489" w:rsidP="003B5686">
            <w:pPr>
              <w:spacing w:before="60" w:after="60" w:line="240" w:lineRule="auto"/>
              <w:rPr>
                <w:rFonts w:eastAsia="Times New Roman"/>
                <w:color w:val="000000"/>
                <w:sz w:val="20"/>
              </w:rPr>
            </w:pPr>
          </w:p>
        </w:tc>
        <w:tc>
          <w:tcPr>
            <w:tcW w:w="1980" w:type="dxa"/>
            <w:shd w:val="clear" w:color="auto" w:fill="auto"/>
            <w:vAlign w:val="bottom"/>
          </w:tcPr>
          <w:p w:rsidR="009C2489" w:rsidRPr="00B036B5" w:rsidRDefault="009C2489" w:rsidP="003B5686">
            <w:pPr>
              <w:spacing w:before="60" w:after="60" w:line="240" w:lineRule="auto"/>
              <w:rPr>
                <w:rFonts w:eastAsia="Times New Roman"/>
                <w:sz w:val="20"/>
              </w:rPr>
            </w:pPr>
          </w:p>
        </w:tc>
      </w:tr>
      <w:tr w:rsidR="009C2489" w:rsidRPr="00B036B5" w:rsidTr="00C64778">
        <w:trPr>
          <w:trHeight w:val="620"/>
          <w:jc w:val="center"/>
        </w:trPr>
        <w:tc>
          <w:tcPr>
            <w:tcW w:w="765" w:type="dxa"/>
            <w:shd w:val="clear" w:color="auto" w:fill="auto"/>
            <w:vAlign w:val="center"/>
          </w:tcPr>
          <w:p w:rsidR="009C2489" w:rsidRPr="00B036B5" w:rsidRDefault="00F37437" w:rsidP="00C64778">
            <w:pPr>
              <w:spacing w:before="60" w:after="60" w:line="240" w:lineRule="auto"/>
              <w:jc w:val="center"/>
              <w:rPr>
                <w:rFonts w:eastAsia="Times New Roman"/>
                <w:sz w:val="20"/>
              </w:rPr>
            </w:pPr>
            <w:r>
              <w:rPr>
                <w:rFonts w:eastAsia="Times New Roman"/>
                <w:sz w:val="20"/>
              </w:rPr>
              <w:t>1.3</w:t>
            </w:r>
            <w:r w:rsidR="004F3B97">
              <w:rPr>
                <w:rFonts w:eastAsia="Times New Roman"/>
                <w:sz w:val="20"/>
              </w:rPr>
              <w:t>.3</w:t>
            </w:r>
          </w:p>
        </w:tc>
        <w:tc>
          <w:tcPr>
            <w:tcW w:w="4995" w:type="dxa"/>
            <w:shd w:val="clear" w:color="auto" w:fill="auto"/>
            <w:vAlign w:val="center"/>
          </w:tcPr>
          <w:p w:rsidR="009C2489" w:rsidRPr="009C2489" w:rsidRDefault="009C2489" w:rsidP="007358AA">
            <w:pPr>
              <w:pStyle w:val="Heading6"/>
              <w:spacing w:before="60"/>
              <w:jc w:val="both"/>
              <w:rPr>
                <w:rFonts w:ascii="Axiata Book" w:hAnsi="Axiata Book" w:cs="Axiata Book"/>
                <w:b w:val="0"/>
                <w:sz w:val="20"/>
              </w:rPr>
            </w:pPr>
            <w:r w:rsidRPr="009C2489">
              <w:rPr>
                <w:rFonts w:ascii="Axiata Book" w:hAnsi="Axiata Book" w:cs="Axiata Book"/>
                <w:b w:val="0"/>
                <w:sz w:val="20"/>
              </w:rPr>
              <w:t xml:space="preserve">Supplier will be responsible for doing the remediation of any information security vulnerability identified by </w:t>
            </w:r>
            <w:proofErr w:type="spellStart"/>
            <w:r w:rsidRPr="009C2489">
              <w:rPr>
                <w:rFonts w:ascii="Axiata Book" w:hAnsi="Axiata Book" w:cs="Axiata Book"/>
                <w:b w:val="0"/>
                <w:sz w:val="20"/>
              </w:rPr>
              <w:t>Robi</w:t>
            </w:r>
            <w:proofErr w:type="spellEnd"/>
            <w:r w:rsidRPr="009C2489">
              <w:rPr>
                <w:rFonts w:ascii="Axiata Book" w:hAnsi="Axiata Book" w:cs="Axiata Book"/>
                <w:b w:val="0"/>
                <w:sz w:val="20"/>
              </w:rPr>
              <w:t>/ any authenticated media / global research communities / threat intelligence organizations, etc.</w:t>
            </w:r>
          </w:p>
        </w:tc>
        <w:tc>
          <w:tcPr>
            <w:tcW w:w="900" w:type="dxa"/>
            <w:shd w:val="clear" w:color="000000" w:fill="FFFFFF"/>
            <w:noWrap/>
            <w:vAlign w:val="center"/>
          </w:tcPr>
          <w:p w:rsidR="009C2489" w:rsidRPr="00B036B5" w:rsidRDefault="00C64778" w:rsidP="007358AA">
            <w:pPr>
              <w:pStyle w:val="Heading6"/>
              <w:spacing w:before="60"/>
              <w:jc w:val="center"/>
              <w:rPr>
                <w:rFonts w:ascii="Axiata Book" w:hAnsi="Axiata Book" w:cs="Axiata Book"/>
                <w:b w:val="0"/>
                <w:color w:val="000000"/>
                <w:sz w:val="20"/>
              </w:rPr>
            </w:pPr>
            <w:r>
              <w:rPr>
                <w:rFonts w:ascii="Axiata Book" w:hAnsi="Axiata Book" w:cs="Axiata Book"/>
                <w:b w:val="0"/>
                <w:color w:val="000000"/>
                <w:sz w:val="20"/>
              </w:rPr>
              <w:t>Critical</w:t>
            </w:r>
          </w:p>
        </w:tc>
        <w:tc>
          <w:tcPr>
            <w:tcW w:w="1710" w:type="dxa"/>
            <w:shd w:val="clear" w:color="auto" w:fill="auto"/>
            <w:vAlign w:val="center"/>
          </w:tcPr>
          <w:p w:rsidR="009C2489" w:rsidRPr="00B036B5" w:rsidRDefault="009C2489" w:rsidP="003B5686">
            <w:pPr>
              <w:spacing w:before="60" w:after="60" w:line="240" w:lineRule="auto"/>
              <w:rPr>
                <w:rFonts w:eastAsia="Times New Roman"/>
                <w:color w:val="000000"/>
                <w:sz w:val="20"/>
              </w:rPr>
            </w:pPr>
          </w:p>
        </w:tc>
        <w:tc>
          <w:tcPr>
            <w:tcW w:w="1980" w:type="dxa"/>
            <w:shd w:val="clear" w:color="auto" w:fill="auto"/>
            <w:vAlign w:val="bottom"/>
          </w:tcPr>
          <w:p w:rsidR="009C2489" w:rsidRPr="00B036B5" w:rsidRDefault="009C2489" w:rsidP="003B5686">
            <w:pPr>
              <w:spacing w:before="60" w:after="60" w:line="240" w:lineRule="auto"/>
              <w:rPr>
                <w:rFonts w:eastAsia="Times New Roman"/>
                <w:sz w:val="20"/>
              </w:rPr>
            </w:pPr>
          </w:p>
        </w:tc>
      </w:tr>
      <w:tr w:rsidR="00C64778" w:rsidRPr="00B036B5" w:rsidTr="00987D57">
        <w:trPr>
          <w:trHeight w:val="620"/>
          <w:jc w:val="center"/>
        </w:trPr>
        <w:tc>
          <w:tcPr>
            <w:tcW w:w="765" w:type="dxa"/>
            <w:shd w:val="clear" w:color="auto" w:fill="auto"/>
            <w:vAlign w:val="center"/>
          </w:tcPr>
          <w:p w:rsidR="00C64778" w:rsidRPr="00C64778" w:rsidRDefault="00F37437" w:rsidP="00C64778">
            <w:pPr>
              <w:spacing w:before="60" w:after="60" w:line="240" w:lineRule="auto"/>
              <w:jc w:val="center"/>
              <w:rPr>
                <w:rFonts w:eastAsia="Times New Roman"/>
                <w:b/>
                <w:sz w:val="20"/>
              </w:rPr>
            </w:pPr>
            <w:r>
              <w:rPr>
                <w:rFonts w:eastAsia="Times New Roman"/>
                <w:b/>
                <w:sz w:val="20"/>
              </w:rPr>
              <w:t>1.4</w:t>
            </w:r>
          </w:p>
        </w:tc>
        <w:tc>
          <w:tcPr>
            <w:tcW w:w="5895" w:type="dxa"/>
            <w:gridSpan w:val="2"/>
            <w:shd w:val="clear" w:color="auto" w:fill="auto"/>
            <w:vAlign w:val="center"/>
          </w:tcPr>
          <w:p w:rsidR="00C64778" w:rsidRPr="009C2489" w:rsidRDefault="00C64778" w:rsidP="00C64778">
            <w:pPr>
              <w:pStyle w:val="Heading6"/>
              <w:spacing w:before="60"/>
              <w:rPr>
                <w:rFonts w:ascii="Axiata Book" w:hAnsi="Axiata Book" w:cs="Axiata Book"/>
                <w:b w:val="0"/>
                <w:sz w:val="20"/>
              </w:rPr>
            </w:pPr>
            <w:r w:rsidRPr="009C2489">
              <w:rPr>
                <w:rFonts w:ascii="Axiata Book" w:hAnsi="Axiata Book" w:cs="Axiata Book"/>
                <w:sz w:val="20"/>
              </w:rPr>
              <w:t>Information &amp; Cyber Security Service Level Agreement (SLA):</w:t>
            </w:r>
            <w:r w:rsidRPr="009C2489">
              <w:rPr>
                <w:rFonts w:ascii="Axiata Book" w:hAnsi="Axiata Book" w:cs="Axiata Book"/>
                <w:b w:val="0"/>
                <w:sz w:val="20"/>
              </w:rPr>
              <w:t xml:space="preserve">  </w:t>
            </w:r>
          </w:p>
          <w:p w:rsidR="00C64778" w:rsidRPr="00B036B5" w:rsidRDefault="00C64778" w:rsidP="00C64778">
            <w:pPr>
              <w:pStyle w:val="Heading6"/>
              <w:spacing w:before="60"/>
              <w:rPr>
                <w:rFonts w:ascii="Axiata Book" w:hAnsi="Axiata Book" w:cs="Axiata Book"/>
                <w:b w:val="0"/>
                <w:color w:val="000000"/>
                <w:sz w:val="20"/>
              </w:rPr>
            </w:pPr>
            <w:r w:rsidRPr="009C2489">
              <w:rPr>
                <w:rFonts w:ascii="Axiata Book" w:hAnsi="Axiata Book" w:cs="Axiata Book"/>
                <w:b w:val="0"/>
                <w:sz w:val="20"/>
              </w:rPr>
              <w:t xml:space="preserve">Suppliers must follow below SLA during the validity of the Agreement. If Suppliers fails to fulfill the requirement, </w:t>
            </w:r>
            <w:proofErr w:type="spellStart"/>
            <w:r w:rsidRPr="009C2489">
              <w:rPr>
                <w:rFonts w:ascii="Axiata Book" w:hAnsi="Axiata Book" w:cs="Axiata Book"/>
                <w:b w:val="0"/>
                <w:sz w:val="20"/>
              </w:rPr>
              <w:t>Robi</w:t>
            </w:r>
            <w:proofErr w:type="spellEnd"/>
            <w:r w:rsidRPr="009C2489">
              <w:rPr>
                <w:rFonts w:ascii="Axiata Book" w:hAnsi="Axiata Book" w:cs="Axiata Book"/>
                <w:b w:val="0"/>
                <w:sz w:val="20"/>
              </w:rPr>
              <w:t xml:space="preserve"> shall have the right to impose LD/penalty based on severity as per below tables –</w:t>
            </w:r>
          </w:p>
        </w:tc>
        <w:tc>
          <w:tcPr>
            <w:tcW w:w="1710" w:type="dxa"/>
            <w:shd w:val="clear" w:color="auto" w:fill="auto"/>
            <w:vAlign w:val="center"/>
          </w:tcPr>
          <w:p w:rsidR="00C64778" w:rsidRPr="00B036B5" w:rsidRDefault="00C64778" w:rsidP="003B5686">
            <w:pPr>
              <w:spacing w:before="60" w:after="60" w:line="240" w:lineRule="auto"/>
              <w:rPr>
                <w:rFonts w:eastAsia="Times New Roman"/>
                <w:color w:val="000000"/>
                <w:sz w:val="20"/>
              </w:rPr>
            </w:pPr>
          </w:p>
        </w:tc>
        <w:tc>
          <w:tcPr>
            <w:tcW w:w="1980" w:type="dxa"/>
            <w:shd w:val="clear" w:color="auto" w:fill="auto"/>
            <w:vAlign w:val="bottom"/>
          </w:tcPr>
          <w:p w:rsidR="00C64778" w:rsidRPr="00B036B5" w:rsidRDefault="00C64778" w:rsidP="003B5686">
            <w:pPr>
              <w:spacing w:before="60" w:after="60" w:line="240" w:lineRule="auto"/>
              <w:rPr>
                <w:rFonts w:eastAsia="Times New Roman"/>
                <w:sz w:val="20"/>
              </w:rPr>
            </w:pPr>
          </w:p>
        </w:tc>
      </w:tr>
      <w:tr w:rsidR="007F7019" w:rsidRPr="00B036B5" w:rsidTr="00C64778">
        <w:trPr>
          <w:trHeight w:val="422"/>
          <w:jc w:val="center"/>
        </w:trPr>
        <w:tc>
          <w:tcPr>
            <w:tcW w:w="765" w:type="dxa"/>
            <w:shd w:val="clear" w:color="auto" w:fill="auto"/>
            <w:vAlign w:val="center"/>
          </w:tcPr>
          <w:p w:rsidR="007F7019" w:rsidRPr="00B036B5" w:rsidRDefault="00F37437" w:rsidP="00C64778">
            <w:pPr>
              <w:spacing w:before="60" w:after="60" w:line="240" w:lineRule="auto"/>
              <w:jc w:val="center"/>
              <w:rPr>
                <w:rFonts w:eastAsia="Times New Roman"/>
                <w:sz w:val="20"/>
              </w:rPr>
            </w:pPr>
            <w:r>
              <w:rPr>
                <w:rFonts w:eastAsia="Times New Roman"/>
                <w:sz w:val="20"/>
              </w:rPr>
              <w:t>1.4.1</w:t>
            </w:r>
          </w:p>
        </w:tc>
        <w:tc>
          <w:tcPr>
            <w:tcW w:w="4995" w:type="dxa"/>
            <w:shd w:val="clear" w:color="auto" w:fill="auto"/>
            <w:vAlign w:val="center"/>
          </w:tcPr>
          <w:p w:rsidR="007F7019" w:rsidRDefault="009C2489" w:rsidP="007358AA">
            <w:pPr>
              <w:spacing w:after="0"/>
              <w:jc w:val="both"/>
              <w:rPr>
                <w:rFonts w:eastAsia="Times New Roman"/>
                <w:b/>
                <w:bCs/>
                <w:sz w:val="20"/>
              </w:rPr>
            </w:pPr>
            <w:r w:rsidRPr="009C2489">
              <w:rPr>
                <w:rFonts w:eastAsia="Times New Roman"/>
                <w:b/>
                <w:bCs/>
                <w:sz w:val="20"/>
              </w:rPr>
              <w:t xml:space="preserve">SLA &amp; LD for public (internet) exposed/third-party connected Node </w:t>
            </w:r>
          </w:p>
          <w:p w:rsidR="009C2489" w:rsidRPr="00B036B5" w:rsidRDefault="009C2489" w:rsidP="007358AA">
            <w:pPr>
              <w:spacing w:after="0"/>
              <w:jc w:val="both"/>
              <w:rPr>
                <w:sz w:val="20"/>
                <w:u w:val="single"/>
              </w:rPr>
            </w:pPr>
          </w:p>
          <w:p w:rsidR="007F7019" w:rsidRPr="00B036B5" w:rsidRDefault="007F7019" w:rsidP="007358AA">
            <w:pPr>
              <w:spacing w:after="0"/>
              <w:jc w:val="both"/>
              <w:rPr>
                <w:sz w:val="20"/>
                <w:u w:val="single"/>
              </w:rPr>
            </w:pPr>
            <w:r w:rsidRPr="00B036B5">
              <w:rPr>
                <w:sz w:val="20"/>
                <w:u w:val="single"/>
              </w:rPr>
              <w:t>Critical/Severity Level 1:</w:t>
            </w:r>
          </w:p>
          <w:p w:rsidR="007F7019" w:rsidRPr="00B036B5" w:rsidRDefault="00B15402" w:rsidP="007358AA">
            <w:pPr>
              <w:spacing w:after="0" w:line="240" w:lineRule="auto"/>
              <w:jc w:val="both"/>
              <w:rPr>
                <w:sz w:val="20"/>
              </w:rPr>
            </w:pPr>
            <w:r w:rsidRPr="00B15402">
              <w:rPr>
                <w:sz w:val="20"/>
              </w:rPr>
              <w:t>Resolution</w:t>
            </w:r>
            <w:r>
              <w:rPr>
                <w:sz w:val="20"/>
              </w:rPr>
              <w:t xml:space="preserve"> Time</w:t>
            </w:r>
            <w:r w:rsidR="004B7BE5" w:rsidRPr="00B036B5">
              <w:rPr>
                <w:sz w:val="20"/>
              </w:rPr>
              <w:t xml:space="preserve">: </w:t>
            </w:r>
            <w:r w:rsidR="007F7019" w:rsidRPr="00B036B5">
              <w:rPr>
                <w:sz w:val="20"/>
              </w:rPr>
              <w:t xml:space="preserve"> </w:t>
            </w:r>
            <w:r w:rsidR="004B7BE5" w:rsidRPr="00B036B5">
              <w:rPr>
                <w:sz w:val="20"/>
              </w:rPr>
              <w:t>4</w:t>
            </w:r>
            <w:r w:rsidR="009C2489">
              <w:rPr>
                <w:sz w:val="20"/>
              </w:rPr>
              <w:t>8</w:t>
            </w:r>
            <w:r w:rsidR="004B7BE5" w:rsidRPr="00B036B5">
              <w:rPr>
                <w:sz w:val="20"/>
              </w:rPr>
              <w:t xml:space="preserve"> </w:t>
            </w:r>
            <w:r w:rsidR="007F7019" w:rsidRPr="00B036B5">
              <w:rPr>
                <w:sz w:val="20"/>
              </w:rPr>
              <w:t>hours</w:t>
            </w:r>
          </w:p>
          <w:p w:rsidR="00C64778" w:rsidRPr="00B036B5" w:rsidRDefault="00C64778" w:rsidP="007358AA">
            <w:pPr>
              <w:spacing w:after="0" w:line="240" w:lineRule="auto"/>
              <w:jc w:val="both"/>
              <w:rPr>
                <w:sz w:val="20"/>
              </w:rPr>
            </w:pPr>
            <w:r>
              <w:rPr>
                <w:sz w:val="20"/>
              </w:rPr>
              <w:t>Penalty:</w:t>
            </w:r>
            <w:r>
              <w:t xml:space="preserve"> </w:t>
            </w:r>
            <w:r w:rsidRPr="00C64778">
              <w:rPr>
                <w:sz w:val="20"/>
              </w:rPr>
              <w:t>0.5% of the AMC Cost per additional day, maximum 5% of the AMC Cost.</w:t>
            </w:r>
          </w:p>
          <w:p w:rsidR="007F7019" w:rsidRPr="00B036B5" w:rsidRDefault="007F7019" w:rsidP="007358AA">
            <w:pPr>
              <w:spacing w:after="0"/>
              <w:jc w:val="both"/>
              <w:rPr>
                <w:sz w:val="20"/>
                <w:u w:val="single"/>
              </w:rPr>
            </w:pPr>
          </w:p>
          <w:p w:rsidR="007F7019" w:rsidRPr="00B036B5" w:rsidRDefault="009C2489" w:rsidP="007358AA">
            <w:pPr>
              <w:spacing w:after="0"/>
              <w:jc w:val="both"/>
              <w:rPr>
                <w:sz w:val="20"/>
                <w:u w:val="single"/>
              </w:rPr>
            </w:pPr>
            <w:r>
              <w:rPr>
                <w:sz w:val="20"/>
                <w:u w:val="single"/>
              </w:rPr>
              <w:t>High</w:t>
            </w:r>
            <w:r w:rsidR="007F7019" w:rsidRPr="00B036B5">
              <w:rPr>
                <w:sz w:val="20"/>
                <w:u w:val="single"/>
              </w:rPr>
              <w:t>/Severity Level 2:</w:t>
            </w:r>
          </w:p>
          <w:p w:rsidR="007F7019" w:rsidRPr="00B036B5" w:rsidRDefault="00DC0DCD" w:rsidP="007358AA">
            <w:pPr>
              <w:spacing w:after="0" w:line="240" w:lineRule="auto"/>
              <w:jc w:val="both"/>
              <w:rPr>
                <w:sz w:val="20"/>
              </w:rPr>
            </w:pPr>
            <w:r w:rsidRPr="00B15402">
              <w:rPr>
                <w:sz w:val="20"/>
              </w:rPr>
              <w:t>Resolution</w:t>
            </w:r>
            <w:r>
              <w:rPr>
                <w:sz w:val="20"/>
              </w:rPr>
              <w:t xml:space="preserve"> Time</w:t>
            </w:r>
            <w:r w:rsidRPr="00B036B5">
              <w:rPr>
                <w:sz w:val="20"/>
              </w:rPr>
              <w:t xml:space="preserve">:  </w:t>
            </w:r>
            <w:r w:rsidR="009C2489">
              <w:rPr>
                <w:sz w:val="20"/>
              </w:rPr>
              <w:t>120</w:t>
            </w:r>
            <w:r w:rsidR="007F7019" w:rsidRPr="00B036B5">
              <w:rPr>
                <w:sz w:val="20"/>
              </w:rPr>
              <w:t xml:space="preserve"> hours</w:t>
            </w:r>
          </w:p>
          <w:p w:rsidR="00C64778" w:rsidRPr="00B036B5" w:rsidRDefault="00C64778" w:rsidP="007358AA">
            <w:pPr>
              <w:spacing w:after="0" w:line="240" w:lineRule="auto"/>
              <w:jc w:val="both"/>
              <w:rPr>
                <w:sz w:val="20"/>
              </w:rPr>
            </w:pPr>
            <w:r>
              <w:rPr>
                <w:sz w:val="20"/>
              </w:rPr>
              <w:t xml:space="preserve">Penalty: </w:t>
            </w:r>
            <w:r w:rsidRPr="00C64778">
              <w:rPr>
                <w:sz w:val="20"/>
              </w:rPr>
              <w:t>0.25% of the AMC Cost per additional 48 hours, maximum 2.5% of the AMC Cost.</w:t>
            </w:r>
          </w:p>
          <w:p w:rsidR="007F7019" w:rsidRPr="00B036B5" w:rsidRDefault="007F7019" w:rsidP="007358AA">
            <w:pPr>
              <w:spacing w:after="0"/>
              <w:jc w:val="both"/>
              <w:rPr>
                <w:sz w:val="20"/>
                <w:u w:val="single"/>
              </w:rPr>
            </w:pPr>
          </w:p>
          <w:p w:rsidR="007F7019" w:rsidRPr="00B036B5" w:rsidRDefault="009C2489" w:rsidP="007358AA">
            <w:pPr>
              <w:spacing w:after="0"/>
              <w:jc w:val="both"/>
              <w:rPr>
                <w:sz w:val="20"/>
                <w:u w:val="single"/>
              </w:rPr>
            </w:pPr>
            <w:r>
              <w:rPr>
                <w:sz w:val="20"/>
                <w:u w:val="single"/>
              </w:rPr>
              <w:t>Medium</w:t>
            </w:r>
            <w:r w:rsidR="007F7019" w:rsidRPr="00B036B5">
              <w:rPr>
                <w:sz w:val="20"/>
                <w:u w:val="single"/>
              </w:rPr>
              <w:t>/Severity Level 3:</w:t>
            </w:r>
          </w:p>
          <w:p w:rsidR="007F7019" w:rsidRPr="00B036B5" w:rsidRDefault="00DC0DCD" w:rsidP="007358AA">
            <w:pPr>
              <w:spacing w:after="0" w:line="240" w:lineRule="auto"/>
              <w:jc w:val="both"/>
              <w:rPr>
                <w:sz w:val="20"/>
              </w:rPr>
            </w:pPr>
            <w:r w:rsidRPr="00B15402">
              <w:rPr>
                <w:sz w:val="20"/>
              </w:rPr>
              <w:t>Resolution</w:t>
            </w:r>
            <w:r>
              <w:rPr>
                <w:sz w:val="20"/>
              </w:rPr>
              <w:t xml:space="preserve"> Time</w:t>
            </w:r>
            <w:r w:rsidRPr="00B036B5">
              <w:rPr>
                <w:sz w:val="20"/>
              </w:rPr>
              <w:t xml:space="preserve">:  </w:t>
            </w:r>
            <w:r w:rsidR="004B7BE5" w:rsidRPr="00B036B5">
              <w:rPr>
                <w:sz w:val="20"/>
              </w:rPr>
              <w:t>1</w:t>
            </w:r>
            <w:r w:rsidR="00DD0A10">
              <w:rPr>
                <w:sz w:val="20"/>
              </w:rPr>
              <w:t>0 Days</w:t>
            </w:r>
          </w:p>
          <w:p w:rsidR="00C64778" w:rsidRDefault="00C64778" w:rsidP="00CE09C3">
            <w:pPr>
              <w:spacing w:after="0" w:line="240" w:lineRule="auto"/>
              <w:jc w:val="both"/>
              <w:rPr>
                <w:sz w:val="20"/>
              </w:rPr>
            </w:pPr>
            <w:r>
              <w:rPr>
                <w:sz w:val="20"/>
              </w:rPr>
              <w:t xml:space="preserve">Penalty: </w:t>
            </w:r>
            <w:r w:rsidRPr="00C64778">
              <w:rPr>
                <w:sz w:val="20"/>
              </w:rPr>
              <w:t>0.05% of the AMC Cost per additional week, maximum 0.5% of the AMC Cost.</w:t>
            </w:r>
          </w:p>
          <w:p w:rsidR="009C2489" w:rsidRDefault="009C2489" w:rsidP="00CE09C3">
            <w:pPr>
              <w:spacing w:after="0" w:line="240" w:lineRule="auto"/>
              <w:jc w:val="both"/>
              <w:rPr>
                <w:sz w:val="20"/>
              </w:rPr>
            </w:pPr>
          </w:p>
          <w:p w:rsidR="009C2489" w:rsidRPr="00B036B5" w:rsidRDefault="009C2489" w:rsidP="009C2489">
            <w:pPr>
              <w:spacing w:after="0"/>
              <w:jc w:val="both"/>
              <w:rPr>
                <w:sz w:val="20"/>
                <w:u w:val="single"/>
              </w:rPr>
            </w:pPr>
            <w:r>
              <w:rPr>
                <w:sz w:val="20"/>
                <w:u w:val="single"/>
              </w:rPr>
              <w:t>Low/Severity Level 4</w:t>
            </w:r>
            <w:r w:rsidRPr="00B036B5">
              <w:rPr>
                <w:sz w:val="20"/>
                <w:u w:val="single"/>
              </w:rPr>
              <w:t>:</w:t>
            </w:r>
          </w:p>
          <w:p w:rsidR="009C2489" w:rsidRPr="00B036B5" w:rsidRDefault="00DD0A10" w:rsidP="009C2489">
            <w:pPr>
              <w:spacing w:after="0" w:line="240" w:lineRule="auto"/>
              <w:jc w:val="both"/>
              <w:rPr>
                <w:sz w:val="20"/>
              </w:rPr>
            </w:pPr>
            <w:r w:rsidRPr="00B15402">
              <w:rPr>
                <w:sz w:val="20"/>
              </w:rPr>
              <w:t>Resolution</w:t>
            </w:r>
            <w:r>
              <w:rPr>
                <w:sz w:val="20"/>
              </w:rPr>
              <w:t xml:space="preserve"> Time</w:t>
            </w:r>
            <w:r w:rsidRPr="00B036B5">
              <w:rPr>
                <w:sz w:val="20"/>
              </w:rPr>
              <w:t xml:space="preserve">:  </w:t>
            </w:r>
            <w:r w:rsidR="009C2489">
              <w:rPr>
                <w:sz w:val="20"/>
              </w:rPr>
              <w:t>3 Months</w:t>
            </w:r>
          </w:p>
          <w:p w:rsidR="00C64778" w:rsidRPr="00B036B5" w:rsidRDefault="00C64778" w:rsidP="009C2489">
            <w:pPr>
              <w:spacing w:after="0" w:line="240" w:lineRule="auto"/>
              <w:jc w:val="both"/>
              <w:rPr>
                <w:sz w:val="20"/>
              </w:rPr>
            </w:pPr>
            <w:r>
              <w:rPr>
                <w:sz w:val="20"/>
              </w:rPr>
              <w:t xml:space="preserve">Penalty: </w:t>
            </w:r>
            <w:r w:rsidRPr="00C64778">
              <w:rPr>
                <w:sz w:val="20"/>
              </w:rPr>
              <w:t>No penalty</w:t>
            </w:r>
          </w:p>
        </w:tc>
        <w:tc>
          <w:tcPr>
            <w:tcW w:w="900" w:type="dxa"/>
            <w:shd w:val="clear" w:color="000000" w:fill="FFFFFF"/>
            <w:noWrap/>
            <w:vAlign w:val="center"/>
          </w:tcPr>
          <w:p w:rsidR="007F7019" w:rsidRPr="00B036B5" w:rsidRDefault="007F7019" w:rsidP="007358AA">
            <w:pPr>
              <w:pStyle w:val="Heading6"/>
              <w:spacing w:before="60"/>
              <w:jc w:val="center"/>
              <w:rPr>
                <w:rFonts w:ascii="Axiata Book" w:hAnsi="Axiata Book" w:cs="Axiata Book"/>
                <w:b w:val="0"/>
                <w:color w:val="000000"/>
                <w:sz w:val="20"/>
              </w:rPr>
            </w:pPr>
            <w:r w:rsidRPr="00B036B5">
              <w:rPr>
                <w:rFonts w:ascii="Axiata Book" w:hAnsi="Axiata Book" w:cs="Axiata Book"/>
                <w:b w:val="0"/>
                <w:color w:val="000000"/>
                <w:sz w:val="20"/>
              </w:rPr>
              <w:t>Critical</w:t>
            </w:r>
          </w:p>
        </w:tc>
        <w:tc>
          <w:tcPr>
            <w:tcW w:w="1710" w:type="dxa"/>
            <w:shd w:val="clear" w:color="auto" w:fill="auto"/>
            <w:noWrap/>
            <w:vAlign w:val="bottom"/>
          </w:tcPr>
          <w:p w:rsidR="007F7019" w:rsidRPr="00B036B5" w:rsidRDefault="007F7019" w:rsidP="003B5686">
            <w:pPr>
              <w:spacing w:before="60" w:after="60" w:line="240" w:lineRule="auto"/>
              <w:rPr>
                <w:rFonts w:eastAsia="Times New Roman"/>
                <w:sz w:val="20"/>
              </w:rPr>
            </w:pPr>
          </w:p>
        </w:tc>
        <w:tc>
          <w:tcPr>
            <w:tcW w:w="1980" w:type="dxa"/>
            <w:shd w:val="clear" w:color="auto" w:fill="auto"/>
            <w:noWrap/>
            <w:vAlign w:val="bottom"/>
            <w:hideMark/>
          </w:tcPr>
          <w:p w:rsidR="007F7019" w:rsidRPr="00B036B5" w:rsidRDefault="007F7019" w:rsidP="003B5686">
            <w:pPr>
              <w:spacing w:before="60" w:after="60" w:line="240" w:lineRule="auto"/>
              <w:rPr>
                <w:rFonts w:eastAsia="Times New Roman"/>
                <w:sz w:val="20"/>
              </w:rPr>
            </w:pPr>
          </w:p>
        </w:tc>
      </w:tr>
      <w:tr w:rsidR="009C2489" w:rsidRPr="00B036B5" w:rsidTr="00C64778">
        <w:trPr>
          <w:trHeight w:val="422"/>
          <w:jc w:val="center"/>
        </w:trPr>
        <w:tc>
          <w:tcPr>
            <w:tcW w:w="765" w:type="dxa"/>
            <w:shd w:val="clear" w:color="auto" w:fill="auto"/>
            <w:vAlign w:val="center"/>
          </w:tcPr>
          <w:p w:rsidR="009C2489" w:rsidRPr="00B036B5" w:rsidRDefault="00C64778" w:rsidP="00C64778">
            <w:pPr>
              <w:spacing w:before="60" w:after="60" w:line="240" w:lineRule="auto"/>
              <w:jc w:val="center"/>
              <w:rPr>
                <w:rFonts w:eastAsia="Times New Roman"/>
                <w:sz w:val="20"/>
              </w:rPr>
            </w:pPr>
            <w:r>
              <w:rPr>
                <w:rFonts w:eastAsia="Times New Roman"/>
                <w:sz w:val="20"/>
              </w:rPr>
              <w:t>3.2</w:t>
            </w:r>
          </w:p>
        </w:tc>
        <w:tc>
          <w:tcPr>
            <w:tcW w:w="4995" w:type="dxa"/>
            <w:shd w:val="clear" w:color="auto" w:fill="auto"/>
            <w:vAlign w:val="center"/>
          </w:tcPr>
          <w:p w:rsidR="009C2489" w:rsidRDefault="009C2489" w:rsidP="009C2489">
            <w:pPr>
              <w:spacing w:after="0"/>
              <w:jc w:val="both"/>
              <w:rPr>
                <w:rFonts w:eastAsia="Times New Roman"/>
                <w:b/>
                <w:bCs/>
                <w:sz w:val="20"/>
              </w:rPr>
            </w:pPr>
            <w:r w:rsidRPr="009C2489">
              <w:rPr>
                <w:rFonts w:eastAsia="Times New Roman"/>
                <w:b/>
                <w:bCs/>
                <w:sz w:val="20"/>
              </w:rPr>
              <w:t>SLA &amp; LD for private network (intranet) exposed Node</w:t>
            </w:r>
          </w:p>
          <w:p w:rsidR="009C2489" w:rsidRPr="00B036B5" w:rsidRDefault="009C2489" w:rsidP="009C2489">
            <w:pPr>
              <w:spacing w:after="0"/>
              <w:jc w:val="both"/>
              <w:rPr>
                <w:sz w:val="20"/>
                <w:u w:val="single"/>
              </w:rPr>
            </w:pPr>
          </w:p>
          <w:p w:rsidR="009C2489" w:rsidRPr="00B036B5" w:rsidRDefault="009C2489" w:rsidP="009C2489">
            <w:pPr>
              <w:spacing w:after="0"/>
              <w:jc w:val="both"/>
              <w:rPr>
                <w:sz w:val="20"/>
                <w:u w:val="single"/>
              </w:rPr>
            </w:pPr>
            <w:r w:rsidRPr="00B036B5">
              <w:rPr>
                <w:sz w:val="20"/>
                <w:u w:val="single"/>
              </w:rPr>
              <w:t>Critical/Severity Level 1:</w:t>
            </w:r>
          </w:p>
          <w:p w:rsidR="009C2489" w:rsidRPr="00B036B5" w:rsidRDefault="003352DA" w:rsidP="009C2489">
            <w:pPr>
              <w:spacing w:after="0" w:line="240" w:lineRule="auto"/>
              <w:jc w:val="both"/>
              <w:rPr>
                <w:sz w:val="20"/>
              </w:rPr>
            </w:pPr>
            <w:r w:rsidRPr="00B15402">
              <w:rPr>
                <w:sz w:val="20"/>
              </w:rPr>
              <w:t>Resolution</w:t>
            </w:r>
            <w:r>
              <w:rPr>
                <w:sz w:val="20"/>
              </w:rPr>
              <w:t xml:space="preserve"> Time</w:t>
            </w:r>
            <w:r w:rsidR="009C2489" w:rsidRPr="00B036B5">
              <w:rPr>
                <w:sz w:val="20"/>
              </w:rPr>
              <w:t xml:space="preserve">:  </w:t>
            </w:r>
            <w:r w:rsidR="009C2489">
              <w:rPr>
                <w:sz w:val="20"/>
              </w:rPr>
              <w:t>&lt;14 Days</w:t>
            </w:r>
          </w:p>
          <w:p w:rsidR="00C64778" w:rsidRPr="00B036B5" w:rsidRDefault="00C64778" w:rsidP="009C2489">
            <w:pPr>
              <w:spacing w:after="0" w:line="240" w:lineRule="auto"/>
              <w:jc w:val="both"/>
              <w:rPr>
                <w:sz w:val="20"/>
              </w:rPr>
            </w:pPr>
            <w:r>
              <w:rPr>
                <w:sz w:val="20"/>
              </w:rPr>
              <w:t xml:space="preserve">Penalty: </w:t>
            </w:r>
            <w:r w:rsidRPr="00C64778">
              <w:rPr>
                <w:sz w:val="20"/>
              </w:rPr>
              <w:t>0.1% of the AMC Cost per additional day subject to maximum 1% of the AMC Cost.</w:t>
            </w:r>
          </w:p>
          <w:p w:rsidR="009C2489" w:rsidRPr="00B036B5" w:rsidRDefault="009C2489" w:rsidP="009C2489">
            <w:pPr>
              <w:spacing w:after="0"/>
              <w:jc w:val="both"/>
              <w:rPr>
                <w:sz w:val="20"/>
                <w:u w:val="single"/>
              </w:rPr>
            </w:pPr>
          </w:p>
          <w:p w:rsidR="009C2489" w:rsidRPr="00B036B5" w:rsidRDefault="009C2489" w:rsidP="009C2489">
            <w:pPr>
              <w:spacing w:after="0"/>
              <w:jc w:val="both"/>
              <w:rPr>
                <w:sz w:val="20"/>
                <w:u w:val="single"/>
              </w:rPr>
            </w:pPr>
            <w:r>
              <w:rPr>
                <w:sz w:val="20"/>
                <w:u w:val="single"/>
              </w:rPr>
              <w:t>High</w:t>
            </w:r>
            <w:r w:rsidRPr="00B036B5">
              <w:rPr>
                <w:sz w:val="20"/>
                <w:u w:val="single"/>
              </w:rPr>
              <w:t>/Severity Level 2:</w:t>
            </w:r>
          </w:p>
          <w:p w:rsidR="009C2489" w:rsidRPr="00B036B5" w:rsidRDefault="003352DA" w:rsidP="009C2489">
            <w:pPr>
              <w:spacing w:after="0" w:line="240" w:lineRule="auto"/>
              <w:jc w:val="both"/>
              <w:rPr>
                <w:sz w:val="20"/>
              </w:rPr>
            </w:pPr>
            <w:r w:rsidRPr="00B15402">
              <w:rPr>
                <w:sz w:val="20"/>
              </w:rPr>
              <w:t>Resolution</w:t>
            </w:r>
            <w:r>
              <w:rPr>
                <w:sz w:val="20"/>
              </w:rPr>
              <w:t xml:space="preserve"> Time</w:t>
            </w:r>
            <w:r w:rsidRPr="00B036B5">
              <w:rPr>
                <w:sz w:val="20"/>
              </w:rPr>
              <w:t xml:space="preserve">:  </w:t>
            </w:r>
            <w:r w:rsidR="009C2489">
              <w:rPr>
                <w:sz w:val="20"/>
              </w:rPr>
              <w:t>&lt;30 Days</w:t>
            </w:r>
          </w:p>
          <w:p w:rsidR="00C64778" w:rsidRPr="00B036B5" w:rsidRDefault="00C64778" w:rsidP="009C2489">
            <w:pPr>
              <w:spacing w:after="0" w:line="240" w:lineRule="auto"/>
              <w:jc w:val="both"/>
              <w:rPr>
                <w:sz w:val="20"/>
              </w:rPr>
            </w:pPr>
            <w:r>
              <w:rPr>
                <w:sz w:val="20"/>
              </w:rPr>
              <w:t xml:space="preserve">Penalty: </w:t>
            </w:r>
            <w:r w:rsidRPr="00C64778">
              <w:rPr>
                <w:sz w:val="20"/>
              </w:rPr>
              <w:t>0.05% of the AMC Cost per additional 48 hours subject to maximum 1% of the AMC Cost.</w:t>
            </w:r>
          </w:p>
          <w:p w:rsidR="009C2489" w:rsidRPr="00B036B5" w:rsidRDefault="009C2489" w:rsidP="009C2489">
            <w:pPr>
              <w:spacing w:after="0"/>
              <w:jc w:val="both"/>
              <w:rPr>
                <w:sz w:val="20"/>
                <w:u w:val="single"/>
              </w:rPr>
            </w:pPr>
          </w:p>
          <w:p w:rsidR="009C2489" w:rsidRPr="00B036B5" w:rsidRDefault="009C2489" w:rsidP="009C2489">
            <w:pPr>
              <w:spacing w:after="0"/>
              <w:jc w:val="both"/>
              <w:rPr>
                <w:sz w:val="20"/>
                <w:u w:val="single"/>
              </w:rPr>
            </w:pPr>
            <w:r>
              <w:rPr>
                <w:sz w:val="20"/>
                <w:u w:val="single"/>
              </w:rPr>
              <w:t>Medium</w:t>
            </w:r>
            <w:r w:rsidRPr="00B036B5">
              <w:rPr>
                <w:sz w:val="20"/>
                <w:u w:val="single"/>
              </w:rPr>
              <w:t>/Severity Level 3:</w:t>
            </w:r>
          </w:p>
          <w:p w:rsidR="009C2489" w:rsidRPr="00B036B5" w:rsidRDefault="003352DA" w:rsidP="009C2489">
            <w:pPr>
              <w:spacing w:after="0" w:line="240" w:lineRule="auto"/>
              <w:jc w:val="both"/>
              <w:rPr>
                <w:sz w:val="20"/>
              </w:rPr>
            </w:pPr>
            <w:r w:rsidRPr="00B15402">
              <w:rPr>
                <w:sz w:val="20"/>
              </w:rPr>
              <w:t>Resolution</w:t>
            </w:r>
            <w:r>
              <w:rPr>
                <w:sz w:val="20"/>
              </w:rPr>
              <w:t xml:space="preserve"> Time</w:t>
            </w:r>
            <w:r w:rsidRPr="00B036B5">
              <w:rPr>
                <w:sz w:val="20"/>
              </w:rPr>
              <w:t xml:space="preserve">:  </w:t>
            </w:r>
            <w:r w:rsidR="009C2489">
              <w:rPr>
                <w:sz w:val="20"/>
              </w:rPr>
              <w:t>&lt;3 Months</w:t>
            </w:r>
          </w:p>
          <w:p w:rsidR="009C2489" w:rsidRDefault="009C2489" w:rsidP="009C2489">
            <w:pPr>
              <w:spacing w:after="0" w:line="240" w:lineRule="auto"/>
              <w:jc w:val="both"/>
              <w:rPr>
                <w:sz w:val="20"/>
              </w:rPr>
            </w:pPr>
            <w:r w:rsidRPr="00B036B5">
              <w:rPr>
                <w:sz w:val="20"/>
              </w:rPr>
              <w:t>Restoration: 1 week (with root cause analysis)</w:t>
            </w:r>
          </w:p>
          <w:p w:rsidR="009C2489" w:rsidRDefault="00C64778" w:rsidP="009C2489">
            <w:pPr>
              <w:spacing w:after="0" w:line="240" w:lineRule="auto"/>
              <w:jc w:val="both"/>
              <w:rPr>
                <w:sz w:val="20"/>
              </w:rPr>
            </w:pPr>
            <w:r>
              <w:rPr>
                <w:sz w:val="20"/>
              </w:rPr>
              <w:t xml:space="preserve">Penalty: </w:t>
            </w:r>
            <w:r w:rsidRPr="00C64778">
              <w:rPr>
                <w:sz w:val="20"/>
              </w:rPr>
              <w:t>No penalty</w:t>
            </w:r>
            <w:r>
              <w:rPr>
                <w:sz w:val="20"/>
              </w:rPr>
              <w:t xml:space="preserve"> </w:t>
            </w:r>
          </w:p>
          <w:p w:rsidR="00C64778" w:rsidRDefault="00C64778" w:rsidP="009C2489">
            <w:pPr>
              <w:spacing w:after="0" w:line="240" w:lineRule="auto"/>
              <w:jc w:val="both"/>
              <w:rPr>
                <w:sz w:val="20"/>
              </w:rPr>
            </w:pPr>
          </w:p>
          <w:p w:rsidR="009C2489" w:rsidRPr="00B036B5" w:rsidRDefault="009C2489" w:rsidP="009C2489">
            <w:pPr>
              <w:spacing w:after="0"/>
              <w:jc w:val="both"/>
              <w:rPr>
                <w:sz w:val="20"/>
                <w:u w:val="single"/>
              </w:rPr>
            </w:pPr>
            <w:r>
              <w:rPr>
                <w:sz w:val="20"/>
                <w:u w:val="single"/>
              </w:rPr>
              <w:t>Low/Severity Level 4</w:t>
            </w:r>
            <w:r w:rsidRPr="00B036B5">
              <w:rPr>
                <w:sz w:val="20"/>
                <w:u w:val="single"/>
              </w:rPr>
              <w:t>:</w:t>
            </w:r>
          </w:p>
          <w:p w:rsidR="009C2489" w:rsidRPr="00B036B5" w:rsidRDefault="003352DA" w:rsidP="009C2489">
            <w:pPr>
              <w:spacing w:after="0" w:line="240" w:lineRule="auto"/>
              <w:jc w:val="both"/>
              <w:rPr>
                <w:sz w:val="20"/>
              </w:rPr>
            </w:pPr>
            <w:r w:rsidRPr="00B15402">
              <w:rPr>
                <w:sz w:val="20"/>
              </w:rPr>
              <w:t>Resolution</w:t>
            </w:r>
            <w:r>
              <w:rPr>
                <w:sz w:val="20"/>
              </w:rPr>
              <w:t xml:space="preserve"> Time</w:t>
            </w:r>
            <w:r w:rsidRPr="00B036B5">
              <w:rPr>
                <w:sz w:val="20"/>
              </w:rPr>
              <w:t xml:space="preserve">:  </w:t>
            </w:r>
            <w:r w:rsidR="00F87012">
              <w:rPr>
                <w:sz w:val="20"/>
              </w:rPr>
              <w:t>&lt;3 Months</w:t>
            </w:r>
          </w:p>
          <w:p w:rsidR="009C2489" w:rsidRDefault="009C2489" w:rsidP="009C2489">
            <w:pPr>
              <w:spacing w:after="0" w:line="240" w:lineRule="auto"/>
              <w:jc w:val="both"/>
              <w:rPr>
                <w:sz w:val="20"/>
              </w:rPr>
            </w:pPr>
            <w:r w:rsidRPr="00B036B5">
              <w:rPr>
                <w:sz w:val="20"/>
              </w:rPr>
              <w:t>Restoration: 1 week (with root cause analysis)</w:t>
            </w:r>
          </w:p>
          <w:p w:rsidR="00C64778" w:rsidRDefault="00C64778" w:rsidP="009C2489">
            <w:pPr>
              <w:spacing w:after="0" w:line="240" w:lineRule="auto"/>
              <w:jc w:val="both"/>
              <w:rPr>
                <w:sz w:val="20"/>
              </w:rPr>
            </w:pPr>
            <w:r>
              <w:rPr>
                <w:sz w:val="20"/>
              </w:rPr>
              <w:t xml:space="preserve">Penalty: </w:t>
            </w:r>
            <w:r w:rsidRPr="00C64778">
              <w:rPr>
                <w:sz w:val="20"/>
              </w:rPr>
              <w:t>No penalty</w:t>
            </w:r>
          </w:p>
          <w:p w:rsidR="00C64778" w:rsidRPr="00B036B5" w:rsidRDefault="00C64778" w:rsidP="009C2489">
            <w:pPr>
              <w:spacing w:after="0" w:line="240" w:lineRule="auto"/>
              <w:jc w:val="both"/>
              <w:rPr>
                <w:sz w:val="20"/>
              </w:rPr>
            </w:pPr>
          </w:p>
        </w:tc>
        <w:tc>
          <w:tcPr>
            <w:tcW w:w="900" w:type="dxa"/>
            <w:shd w:val="clear" w:color="000000" w:fill="FFFFFF"/>
            <w:noWrap/>
            <w:vAlign w:val="center"/>
          </w:tcPr>
          <w:p w:rsidR="009C2489" w:rsidRPr="00B036B5" w:rsidRDefault="00C64778" w:rsidP="009C2489">
            <w:pPr>
              <w:pStyle w:val="Heading6"/>
              <w:spacing w:before="60"/>
              <w:jc w:val="center"/>
              <w:rPr>
                <w:rFonts w:ascii="Axiata Book" w:hAnsi="Axiata Book" w:cs="Axiata Book"/>
                <w:b w:val="0"/>
                <w:color w:val="000000"/>
                <w:sz w:val="20"/>
              </w:rPr>
            </w:pPr>
            <w:r>
              <w:rPr>
                <w:rFonts w:ascii="Axiata Book" w:hAnsi="Axiata Book" w:cs="Axiata Book"/>
                <w:b w:val="0"/>
                <w:color w:val="000000"/>
                <w:sz w:val="20"/>
              </w:rPr>
              <w:lastRenderedPageBreak/>
              <w:t>Critical</w:t>
            </w:r>
          </w:p>
        </w:tc>
        <w:tc>
          <w:tcPr>
            <w:tcW w:w="1710" w:type="dxa"/>
            <w:shd w:val="clear" w:color="auto" w:fill="auto"/>
            <w:noWrap/>
            <w:vAlign w:val="bottom"/>
          </w:tcPr>
          <w:p w:rsidR="009C2489" w:rsidRPr="00B036B5" w:rsidRDefault="009C2489" w:rsidP="009C2489">
            <w:pPr>
              <w:spacing w:before="60" w:after="60" w:line="240" w:lineRule="auto"/>
              <w:rPr>
                <w:rFonts w:eastAsia="Times New Roman"/>
                <w:sz w:val="20"/>
              </w:rPr>
            </w:pPr>
          </w:p>
        </w:tc>
        <w:tc>
          <w:tcPr>
            <w:tcW w:w="1980" w:type="dxa"/>
            <w:shd w:val="clear" w:color="auto" w:fill="auto"/>
            <w:noWrap/>
            <w:vAlign w:val="bottom"/>
          </w:tcPr>
          <w:p w:rsidR="009C2489" w:rsidRPr="00B036B5" w:rsidRDefault="009C2489" w:rsidP="009C2489">
            <w:pPr>
              <w:spacing w:before="60" w:after="60" w:line="240" w:lineRule="auto"/>
              <w:rPr>
                <w:rFonts w:eastAsia="Times New Roman"/>
                <w:sz w:val="20"/>
              </w:rPr>
            </w:pPr>
          </w:p>
        </w:tc>
      </w:tr>
    </w:tbl>
    <w:p w:rsidR="00840211" w:rsidRDefault="00840211" w:rsidP="00840211">
      <w:pPr>
        <w:spacing w:after="0"/>
        <w:rPr>
          <w:b/>
          <w:sz w:val="20"/>
        </w:rPr>
      </w:pPr>
    </w:p>
    <w:p w:rsidR="00F87012" w:rsidRDefault="00F87012" w:rsidP="00840211">
      <w:pPr>
        <w:spacing w:after="0"/>
        <w:rPr>
          <w:b/>
          <w:sz w:val="20"/>
        </w:rPr>
      </w:pPr>
    </w:p>
    <w:p w:rsidR="00F87012" w:rsidRPr="00F87012" w:rsidRDefault="00F87012" w:rsidP="00F87012">
      <w:pPr>
        <w:rPr>
          <w:sz w:val="20"/>
        </w:rPr>
      </w:pPr>
      <w:r w:rsidRPr="00F87012">
        <w:rPr>
          <w:sz w:val="20"/>
        </w:rPr>
        <w:t xml:space="preserve">Definition: </w:t>
      </w:r>
    </w:p>
    <w:p w:rsidR="00F87012" w:rsidRPr="00C64778" w:rsidRDefault="00F87012" w:rsidP="00C64778">
      <w:pPr>
        <w:pStyle w:val="ListParagraph"/>
        <w:numPr>
          <w:ilvl w:val="0"/>
          <w:numId w:val="11"/>
        </w:numPr>
        <w:rPr>
          <w:sz w:val="20"/>
        </w:rPr>
      </w:pPr>
      <w:r w:rsidRPr="00C64778">
        <w:rPr>
          <w:b/>
          <w:sz w:val="20"/>
        </w:rPr>
        <w:t>Critical</w:t>
      </w:r>
      <w:r w:rsidRPr="00C64778">
        <w:rPr>
          <w:sz w:val="20"/>
        </w:rPr>
        <w:t>: Any vulnerability rating CVSS (Common Vulnerability Scoring System) 9+ or system compromised by internal assessment or external attacker</w:t>
      </w:r>
    </w:p>
    <w:p w:rsidR="00F87012" w:rsidRPr="00C64778" w:rsidRDefault="00F87012" w:rsidP="00C64778">
      <w:pPr>
        <w:pStyle w:val="ListParagraph"/>
        <w:numPr>
          <w:ilvl w:val="0"/>
          <w:numId w:val="11"/>
        </w:numPr>
        <w:rPr>
          <w:sz w:val="20"/>
        </w:rPr>
      </w:pPr>
      <w:r w:rsidRPr="00C64778">
        <w:rPr>
          <w:b/>
          <w:sz w:val="20"/>
        </w:rPr>
        <w:t>High</w:t>
      </w:r>
      <w:r w:rsidRPr="00C64778">
        <w:rPr>
          <w:sz w:val="20"/>
        </w:rPr>
        <w:t>: Any vulnerability rating CVSS 7 to &lt;9 or system high potentiality of being compromise by internal assessment or external attacker</w:t>
      </w:r>
    </w:p>
    <w:p w:rsidR="00F87012" w:rsidRPr="00C64778" w:rsidRDefault="00F87012" w:rsidP="00C64778">
      <w:pPr>
        <w:pStyle w:val="ListParagraph"/>
        <w:numPr>
          <w:ilvl w:val="0"/>
          <w:numId w:val="11"/>
        </w:numPr>
        <w:rPr>
          <w:sz w:val="20"/>
        </w:rPr>
      </w:pPr>
      <w:r w:rsidRPr="00C64778">
        <w:rPr>
          <w:b/>
          <w:sz w:val="20"/>
        </w:rPr>
        <w:t>Medium</w:t>
      </w:r>
      <w:r w:rsidRPr="00C64778">
        <w:rPr>
          <w:sz w:val="20"/>
        </w:rPr>
        <w:t>: Any vulnerability rating CVSS 4 to &lt;7 or system medium potentiality of being compromise by internal assessment or external attacker</w:t>
      </w:r>
    </w:p>
    <w:p w:rsidR="00F87012" w:rsidRPr="00C64778" w:rsidRDefault="00F87012" w:rsidP="00C64778">
      <w:pPr>
        <w:pStyle w:val="ListParagraph"/>
        <w:numPr>
          <w:ilvl w:val="0"/>
          <w:numId w:val="11"/>
        </w:numPr>
        <w:rPr>
          <w:sz w:val="20"/>
        </w:rPr>
      </w:pPr>
      <w:r w:rsidRPr="00C64778">
        <w:rPr>
          <w:b/>
          <w:sz w:val="20"/>
        </w:rPr>
        <w:t>Low</w:t>
      </w:r>
      <w:r w:rsidRPr="00C64778">
        <w:rPr>
          <w:sz w:val="20"/>
        </w:rPr>
        <w:t xml:space="preserve">: Any vulnerability rating CVSS 0.1 to &lt; 4 </w:t>
      </w:r>
    </w:p>
    <w:p w:rsidR="00F87012" w:rsidRPr="00B036B5" w:rsidRDefault="00F87012" w:rsidP="00F87012">
      <w:pPr>
        <w:spacing w:after="0"/>
        <w:rPr>
          <w:b/>
          <w:sz w:val="20"/>
        </w:rPr>
      </w:pPr>
      <w:r w:rsidRPr="00F87012">
        <w:rPr>
          <w:sz w:val="20"/>
        </w:rPr>
        <w:t>Note: Information &amp; Cyber security SLA will be mutually exclusive of service SLA. In case of any service interruption due to successful compromise by attacker, regular SLA will override security SLA.</w:t>
      </w:r>
    </w:p>
    <w:p w:rsidR="00840211" w:rsidRPr="00B036B5" w:rsidRDefault="00840211" w:rsidP="00840211">
      <w:pPr>
        <w:spacing w:after="0" w:line="240" w:lineRule="auto"/>
        <w:rPr>
          <w:sz w:val="20"/>
        </w:rPr>
      </w:pPr>
    </w:p>
    <w:p w:rsidR="00660607" w:rsidRDefault="00660607" w:rsidP="00660607">
      <w:pPr>
        <w:jc w:val="both"/>
        <w:rPr>
          <w:b/>
        </w:rPr>
      </w:pPr>
      <w:r w:rsidRPr="00651E18">
        <w:rPr>
          <w:b/>
        </w:rPr>
        <w:t xml:space="preserve">ANEX 1: </w:t>
      </w:r>
      <w:proofErr w:type="spellStart"/>
      <w:r>
        <w:rPr>
          <w:b/>
        </w:rPr>
        <w:t>IS_Checklist_RFP</w:t>
      </w:r>
      <w:proofErr w:type="spellEnd"/>
      <w:r>
        <w:rPr>
          <w:b/>
        </w:rPr>
        <w:t xml:space="preserve"> Template </w:t>
      </w:r>
    </w:p>
    <w:p w:rsidR="00660607" w:rsidRPr="00651E18" w:rsidRDefault="00660607" w:rsidP="00660607">
      <w:pPr>
        <w:ind w:firstLine="720"/>
        <w:jc w:val="both"/>
      </w:pPr>
      <w:r>
        <w:t xml:space="preserve">  List of evidence of compliance with </w:t>
      </w:r>
      <w:proofErr w:type="spellStart"/>
      <w:r>
        <w:t>Robi</w:t>
      </w:r>
      <w:proofErr w:type="spellEnd"/>
      <w:r>
        <w:t xml:space="preserve"> Cyber Security Policy</w:t>
      </w:r>
      <w:r w:rsidRPr="00651E18">
        <w:t xml:space="preserve"> </w:t>
      </w:r>
      <w:r>
        <w:t>of the propose solution</w:t>
      </w:r>
      <w:bookmarkStart w:id="0" w:name="_GoBack"/>
      <w:bookmarkEnd w:id="0"/>
    </w:p>
    <w:sectPr w:rsidR="00660607" w:rsidRPr="00651E18" w:rsidSect="008F417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16A" w:rsidRDefault="00C2416A" w:rsidP="00483059">
      <w:pPr>
        <w:spacing w:after="0" w:line="240" w:lineRule="auto"/>
      </w:pPr>
      <w:r>
        <w:separator/>
      </w:r>
    </w:p>
  </w:endnote>
  <w:endnote w:type="continuationSeparator" w:id="0">
    <w:p w:rsidR="00C2416A" w:rsidRDefault="00C2416A" w:rsidP="00483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xiata Book">
    <w:altName w:val="Khmer UI"/>
    <w:charset w:val="00"/>
    <w:family w:val="swiss"/>
    <w:pitch w:val="variable"/>
    <w:sig w:usb0="8100006F" w:usb1="D000205B" w:usb2="0001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3288963"/>
      <w:docPartObj>
        <w:docPartGallery w:val="Page Numbers (Bottom of Page)"/>
        <w:docPartUnique/>
      </w:docPartObj>
    </w:sdtPr>
    <w:sdtEndPr/>
    <w:sdtContent>
      <w:sdt>
        <w:sdtPr>
          <w:id w:val="860082579"/>
          <w:docPartObj>
            <w:docPartGallery w:val="Page Numbers (Top of Page)"/>
            <w:docPartUnique/>
          </w:docPartObj>
        </w:sdtPr>
        <w:sdtEndPr/>
        <w:sdtContent>
          <w:p w:rsidR="00D67991" w:rsidRDefault="00D6799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357A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57A4">
              <w:rPr>
                <w:b/>
                <w:bCs/>
                <w:noProof/>
              </w:rPr>
              <w:t>4</w:t>
            </w:r>
            <w:r>
              <w:rPr>
                <w:b/>
                <w:bCs/>
                <w:sz w:val="24"/>
                <w:szCs w:val="24"/>
              </w:rPr>
              <w:fldChar w:fldCharType="end"/>
            </w:r>
          </w:p>
        </w:sdtContent>
      </w:sdt>
    </w:sdtContent>
  </w:sdt>
  <w:p w:rsidR="00D67991" w:rsidRDefault="00D67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16A" w:rsidRDefault="00C2416A" w:rsidP="00483059">
      <w:pPr>
        <w:spacing w:after="0" w:line="240" w:lineRule="auto"/>
      </w:pPr>
      <w:r>
        <w:separator/>
      </w:r>
    </w:p>
  </w:footnote>
  <w:footnote w:type="continuationSeparator" w:id="0">
    <w:p w:rsidR="00C2416A" w:rsidRDefault="00C2416A" w:rsidP="00483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991" w:rsidRDefault="00D67991" w:rsidP="007F2D40">
    <w:pPr>
      <w:spacing w:after="0" w:line="240" w:lineRule="auto"/>
      <w:jc w:val="center"/>
      <w:rPr>
        <w:b/>
        <w:color w:val="000000"/>
      </w:rPr>
    </w:pPr>
    <w:r w:rsidRPr="006B7614">
      <w:rPr>
        <w:b/>
        <w:noProof/>
        <w:color w:val="000000"/>
      </w:rPr>
      <w:drawing>
        <wp:anchor distT="0" distB="0" distL="114300" distR="114300" simplePos="0" relativeHeight="251658752" behindDoc="1" locked="0" layoutInCell="1" allowOverlap="1" wp14:anchorId="00572593" wp14:editId="2A491C25">
          <wp:simplePos x="0" y="0"/>
          <wp:positionH relativeFrom="column">
            <wp:posOffset>5657850</wp:posOffset>
          </wp:positionH>
          <wp:positionV relativeFrom="paragraph">
            <wp:posOffset>-137795</wp:posOffset>
          </wp:positionV>
          <wp:extent cx="495300" cy="414103"/>
          <wp:effectExtent l="0" t="0" r="0" b="0"/>
          <wp:wrapNone/>
          <wp:docPr id="1" name="Picture 1" descr="ro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i"/>
                  <pic:cNvPicPr>
                    <a:picLocks noChangeAspect="1" noChangeArrowheads="1"/>
                  </pic:cNvPicPr>
                </pic:nvPicPr>
                <pic:blipFill>
                  <a:blip r:embed="rId1"/>
                  <a:srcRect/>
                  <a:stretch>
                    <a:fillRect/>
                  </a:stretch>
                </pic:blipFill>
                <pic:spPr bwMode="auto">
                  <a:xfrm>
                    <a:off x="0" y="0"/>
                    <a:ext cx="495300" cy="4141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029DA">
      <w:rPr>
        <w:b/>
        <w:color w:val="000000"/>
      </w:rPr>
      <w:t xml:space="preserve">Annexure - </w:t>
    </w:r>
  </w:p>
  <w:p w:rsidR="00D67991" w:rsidRPr="009F656E" w:rsidRDefault="00D67991" w:rsidP="007F2D40">
    <w:pPr>
      <w:spacing w:after="0" w:line="240" w:lineRule="auto"/>
      <w:jc w:val="center"/>
      <w:rPr>
        <w:b/>
        <w:color w:val="000000"/>
        <w:sz w:val="12"/>
      </w:rPr>
    </w:pPr>
  </w:p>
  <w:p w:rsidR="00D67991" w:rsidRDefault="00F37437" w:rsidP="00C65BDD">
    <w:pPr>
      <w:spacing w:after="0" w:line="240" w:lineRule="auto"/>
      <w:jc w:val="center"/>
    </w:pPr>
    <w:r>
      <w:rPr>
        <w:b/>
        <w:u w:val="single"/>
      </w:rPr>
      <w:t>Responsibility &amp; Obligations of the Supplier for Information &amp; Cyber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2B4B"/>
    <w:multiLevelType w:val="hybridMultilevel"/>
    <w:tmpl w:val="13806AEE"/>
    <w:lvl w:ilvl="0" w:tplc="3914079A">
      <w:start w:val="1"/>
      <w:numFmt w:val="decimal"/>
      <w:lvlText w:val="%1."/>
      <w:lvlJc w:val="left"/>
      <w:pPr>
        <w:ind w:left="717" w:hanging="36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16F84D2F"/>
    <w:multiLevelType w:val="multilevel"/>
    <w:tmpl w:val="33268F9C"/>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33ED38DA"/>
    <w:multiLevelType w:val="hybridMultilevel"/>
    <w:tmpl w:val="E08879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F25651"/>
    <w:multiLevelType w:val="hybridMultilevel"/>
    <w:tmpl w:val="57E083AC"/>
    <w:lvl w:ilvl="0" w:tplc="F6B2AA90">
      <w:start w:val="1"/>
      <w:numFmt w:val="decimal"/>
      <w:lvlText w:val="%1."/>
      <w:lvlJc w:val="left"/>
      <w:pPr>
        <w:ind w:left="45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A4C95"/>
    <w:multiLevelType w:val="hybridMultilevel"/>
    <w:tmpl w:val="387C76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BE6D64"/>
    <w:multiLevelType w:val="hybridMultilevel"/>
    <w:tmpl w:val="6E2288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746085"/>
    <w:multiLevelType w:val="hybridMultilevel"/>
    <w:tmpl w:val="57E083AC"/>
    <w:lvl w:ilvl="0" w:tplc="F6B2AA90">
      <w:start w:val="1"/>
      <w:numFmt w:val="decimal"/>
      <w:lvlText w:val="%1."/>
      <w:lvlJc w:val="left"/>
      <w:pPr>
        <w:ind w:left="450" w:hanging="360"/>
      </w:pPr>
      <w:rPr>
        <w:rFonts w:hint="default"/>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7D14D93"/>
    <w:multiLevelType w:val="hybridMultilevel"/>
    <w:tmpl w:val="B79C757A"/>
    <w:lvl w:ilvl="0" w:tplc="C9B6BE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E276F0"/>
    <w:multiLevelType w:val="hybridMultilevel"/>
    <w:tmpl w:val="0F72C5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4224AC"/>
    <w:multiLevelType w:val="hybridMultilevel"/>
    <w:tmpl w:val="D22C7C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D46AFD"/>
    <w:multiLevelType w:val="hybridMultilevel"/>
    <w:tmpl w:val="DE08639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0"/>
  </w:num>
  <w:num w:numId="7">
    <w:abstractNumId w:val="8"/>
  </w:num>
  <w:num w:numId="8">
    <w:abstractNumId w:val="5"/>
  </w:num>
  <w:num w:numId="9">
    <w:abstractNumId w:val="3"/>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59"/>
    <w:rsid w:val="000306B1"/>
    <w:rsid w:val="000309EA"/>
    <w:rsid w:val="00034355"/>
    <w:rsid w:val="00034744"/>
    <w:rsid w:val="000413E5"/>
    <w:rsid w:val="000474CA"/>
    <w:rsid w:val="00047D2B"/>
    <w:rsid w:val="000521AC"/>
    <w:rsid w:val="0005754D"/>
    <w:rsid w:val="00057E3D"/>
    <w:rsid w:val="000759F9"/>
    <w:rsid w:val="000A2918"/>
    <w:rsid w:val="000A4421"/>
    <w:rsid w:val="000A46DE"/>
    <w:rsid w:val="000B3759"/>
    <w:rsid w:val="000C168D"/>
    <w:rsid w:val="000C3869"/>
    <w:rsid w:val="000D1B03"/>
    <w:rsid w:val="000D49F2"/>
    <w:rsid w:val="000E063A"/>
    <w:rsid w:val="000E1194"/>
    <w:rsid w:val="000E518A"/>
    <w:rsid w:val="000F579B"/>
    <w:rsid w:val="000F6BAD"/>
    <w:rsid w:val="001004F0"/>
    <w:rsid w:val="00104531"/>
    <w:rsid w:val="00104827"/>
    <w:rsid w:val="00106095"/>
    <w:rsid w:val="001141C4"/>
    <w:rsid w:val="00116B5F"/>
    <w:rsid w:val="001174D4"/>
    <w:rsid w:val="00117778"/>
    <w:rsid w:val="00120597"/>
    <w:rsid w:val="0012120F"/>
    <w:rsid w:val="00126433"/>
    <w:rsid w:val="00131136"/>
    <w:rsid w:val="001336A3"/>
    <w:rsid w:val="00133974"/>
    <w:rsid w:val="00133E15"/>
    <w:rsid w:val="00134C67"/>
    <w:rsid w:val="00141877"/>
    <w:rsid w:val="00145EC3"/>
    <w:rsid w:val="00162B67"/>
    <w:rsid w:val="00184E9F"/>
    <w:rsid w:val="0018606B"/>
    <w:rsid w:val="0019340B"/>
    <w:rsid w:val="00195704"/>
    <w:rsid w:val="001A0FBC"/>
    <w:rsid w:val="001B168D"/>
    <w:rsid w:val="001C0FF6"/>
    <w:rsid w:val="001C4D10"/>
    <w:rsid w:val="001E43D4"/>
    <w:rsid w:val="001E4819"/>
    <w:rsid w:val="001E7718"/>
    <w:rsid w:val="0020053D"/>
    <w:rsid w:val="0020204F"/>
    <w:rsid w:val="002053CF"/>
    <w:rsid w:val="00214ABC"/>
    <w:rsid w:val="00220C66"/>
    <w:rsid w:val="00225DE4"/>
    <w:rsid w:val="00231992"/>
    <w:rsid w:val="002319F7"/>
    <w:rsid w:val="00233D15"/>
    <w:rsid w:val="00240173"/>
    <w:rsid w:val="00240EEF"/>
    <w:rsid w:val="00247D98"/>
    <w:rsid w:val="00255C02"/>
    <w:rsid w:val="00272063"/>
    <w:rsid w:val="002838B2"/>
    <w:rsid w:val="00286CEA"/>
    <w:rsid w:val="002A7847"/>
    <w:rsid w:val="002B763C"/>
    <w:rsid w:val="002C117C"/>
    <w:rsid w:val="002D2D9A"/>
    <w:rsid w:val="002D378C"/>
    <w:rsid w:val="002E5429"/>
    <w:rsid w:val="002E7ED1"/>
    <w:rsid w:val="002F5974"/>
    <w:rsid w:val="00301192"/>
    <w:rsid w:val="00303B5A"/>
    <w:rsid w:val="00310472"/>
    <w:rsid w:val="00312146"/>
    <w:rsid w:val="00313B5C"/>
    <w:rsid w:val="00322D7F"/>
    <w:rsid w:val="00323098"/>
    <w:rsid w:val="0032377F"/>
    <w:rsid w:val="00324445"/>
    <w:rsid w:val="00326308"/>
    <w:rsid w:val="00327AD9"/>
    <w:rsid w:val="00332AAB"/>
    <w:rsid w:val="003352DA"/>
    <w:rsid w:val="0033721B"/>
    <w:rsid w:val="00341131"/>
    <w:rsid w:val="00341417"/>
    <w:rsid w:val="00354014"/>
    <w:rsid w:val="0035776E"/>
    <w:rsid w:val="00361FCA"/>
    <w:rsid w:val="00367AFB"/>
    <w:rsid w:val="00375851"/>
    <w:rsid w:val="003866C5"/>
    <w:rsid w:val="00386E6D"/>
    <w:rsid w:val="00387A96"/>
    <w:rsid w:val="00392226"/>
    <w:rsid w:val="003937DE"/>
    <w:rsid w:val="003A266D"/>
    <w:rsid w:val="003A2732"/>
    <w:rsid w:val="003B1496"/>
    <w:rsid w:val="003B31C4"/>
    <w:rsid w:val="003B3526"/>
    <w:rsid w:val="003B5686"/>
    <w:rsid w:val="003C4D21"/>
    <w:rsid w:val="003D376E"/>
    <w:rsid w:val="003D6878"/>
    <w:rsid w:val="003E2821"/>
    <w:rsid w:val="003E29E2"/>
    <w:rsid w:val="003E4F03"/>
    <w:rsid w:val="003F0A3A"/>
    <w:rsid w:val="003F50DF"/>
    <w:rsid w:val="003F7342"/>
    <w:rsid w:val="00400868"/>
    <w:rsid w:val="004029DA"/>
    <w:rsid w:val="00402B34"/>
    <w:rsid w:val="00414714"/>
    <w:rsid w:val="004358E1"/>
    <w:rsid w:val="00437AEF"/>
    <w:rsid w:val="0044080E"/>
    <w:rsid w:val="00443B48"/>
    <w:rsid w:val="0044491A"/>
    <w:rsid w:val="00444B2A"/>
    <w:rsid w:val="00454C18"/>
    <w:rsid w:val="00455F90"/>
    <w:rsid w:val="004619B1"/>
    <w:rsid w:val="004679F8"/>
    <w:rsid w:val="0047196C"/>
    <w:rsid w:val="00475821"/>
    <w:rsid w:val="004801CD"/>
    <w:rsid w:val="00483059"/>
    <w:rsid w:val="00493EA2"/>
    <w:rsid w:val="0049467C"/>
    <w:rsid w:val="004A13F7"/>
    <w:rsid w:val="004B7BE5"/>
    <w:rsid w:val="004C5295"/>
    <w:rsid w:val="004D19F0"/>
    <w:rsid w:val="004D3B69"/>
    <w:rsid w:val="004D5BC4"/>
    <w:rsid w:val="004E25ED"/>
    <w:rsid w:val="004E3302"/>
    <w:rsid w:val="004E4891"/>
    <w:rsid w:val="004E5FCA"/>
    <w:rsid w:val="004F3B97"/>
    <w:rsid w:val="004F3CF4"/>
    <w:rsid w:val="004F5F0B"/>
    <w:rsid w:val="00515DFF"/>
    <w:rsid w:val="005177F1"/>
    <w:rsid w:val="00524378"/>
    <w:rsid w:val="00526F59"/>
    <w:rsid w:val="005324B8"/>
    <w:rsid w:val="005357A4"/>
    <w:rsid w:val="00560153"/>
    <w:rsid w:val="0056379B"/>
    <w:rsid w:val="005645D5"/>
    <w:rsid w:val="00565218"/>
    <w:rsid w:val="00567A5B"/>
    <w:rsid w:val="0057009B"/>
    <w:rsid w:val="00572DAE"/>
    <w:rsid w:val="0057450C"/>
    <w:rsid w:val="00575744"/>
    <w:rsid w:val="0058018C"/>
    <w:rsid w:val="005802B2"/>
    <w:rsid w:val="0059264B"/>
    <w:rsid w:val="005949C5"/>
    <w:rsid w:val="005A10FC"/>
    <w:rsid w:val="005A3C66"/>
    <w:rsid w:val="005B0218"/>
    <w:rsid w:val="005B522F"/>
    <w:rsid w:val="005D7267"/>
    <w:rsid w:val="005E063F"/>
    <w:rsid w:val="005E3BFD"/>
    <w:rsid w:val="005E57CC"/>
    <w:rsid w:val="005F20CD"/>
    <w:rsid w:val="005F304B"/>
    <w:rsid w:val="005F693E"/>
    <w:rsid w:val="00623205"/>
    <w:rsid w:val="00627F62"/>
    <w:rsid w:val="00630B36"/>
    <w:rsid w:val="00632386"/>
    <w:rsid w:val="0065103D"/>
    <w:rsid w:val="0065452E"/>
    <w:rsid w:val="006550D3"/>
    <w:rsid w:val="00656141"/>
    <w:rsid w:val="00656607"/>
    <w:rsid w:val="006574BA"/>
    <w:rsid w:val="00660607"/>
    <w:rsid w:val="006640A4"/>
    <w:rsid w:val="0067226D"/>
    <w:rsid w:val="00675665"/>
    <w:rsid w:val="00695836"/>
    <w:rsid w:val="00695CFB"/>
    <w:rsid w:val="00695EC3"/>
    <w:rsid w:val="006A0DF0"/>
    <w:rsid w:val="006A4485"/>
    <w:rsid w:val="006A6394"/>
    <w:rsid w:val="006B3138"/>
    <w:rsid w:val="006B75DB"/>
    <w:rsid w:val="006B7614"/>
    <w:rsid w:val="006B7C6C"/>
    <w:rsid w:val="006C18DE"/>
    <w:rsid w:val="006C5773"/>
    <w:rsid w:val="006C698D"/>
    <w:rsid w:val="006D1F46"/>
    <w:rsid w:val="006D3D3A"/>
    <w:rsid w:val="006E66EF"/>
    <w:rsid w:val="00700E9B"/>
    <w:rsid w:val="00703E96"/>
    <w:rsid w:val="007146AE"/>
    <w:rsid w:val="00716BB3"/>
    <w:rsid w:val="00716D32"/>
    <w:rsid w:val="00727A26"/>
    <w:rsid w:val="0073243E"/>
    <w:rsid w:val="007358AA"/>
    <w:rsid w:val="00735E16"/>
    <w:rsid w:val="00740767"/>
    <w:rsid w:val="00741ABD"/>
    <w:rsid w:val="007531E4"/>
    <w:rsid w:val="00754DE0"/>
    <w:rsid w:val="007553DA"/>
    <w:rsid w:val="00762B7C"/>
    <w:rsid w:val="007668BD"/>
    <w:rsid w:val="00767516"/>
    <w:rsid w:val="00777DE1"/>
    <w:rsid w:val="00781D63"/>
    <w:rsid w:val="00786B1D"/>
    <w:rsid w:val="00797979"/>
    <w:rsid w:val="007A07B5"/>
    <w:rsid w:val="007A1969"/>
    <w:rsid w:val="007A5E9F"/>
    <w:rsid w:val="007D37F9"/>
    <w:rsid w:val="007D4606"/>
    <w:rsid w:val="007E3119"/>
    <w:rsid w:val="007F2D40"/>
    <w:rsid w:val="007F4BBE"/>
    <w:rsid w:val="007F7019"/>
    <w:rsid w:val="00805B4A"/>
    <w:rsid w:val="008134B2"/>
    <w:rsid w:val="00837B62"/>
    <w:rsid w:val="00840211"/>
    <w:rsid w:val="0084102A"/>
    <w:rsid w:val="0084390A"/>
    <w:rsid w:val="00843C9D"/>
    <w:rsid w:val="00845C31"/>
    <w:rsid w:val="00847441"/>
    <w:rsid w:val="008508CD"/>
    <w:rsid w:val="00851916"/>
    <w:rsid w:val="008543BC"/>
    <w:rsid w:val="00865FF1"/>
    <w:rsid w:val="00872342"/>
    <w:rsid w:val="008759E8"/>
    <w:rsid w:val="00875C9D"/>
    <w:rsid w:val="00886EB7"/>
    <w:rsid w:val="00892DC7"/>
    <w:rsid w:val="008932FB"/>
    <w:rsid w:val="00894764"/>
    <w:rsid w:val="0089638D"/>
    <w:rsid w:val="008B0809"/>
    <w:rsid w:val="008B1793"/>
    <w:rsid w:val="008C747D"/>
    <w:rsid w:val="008D056F"/>
    <w:rsid w:val="008D08FB"/>
    <w:rsid w:val="008D0D3B"/>
    <w:rsid w:val="008D50BB"/>
    <w:rsid w:val="008E0695"/>
    <w:rsid w:val="008E3B57"/>
    <w:rsid w:val="008E3F89"/>
    <w:rsid w:val="008F0BAC"/>
    <w:rsid w:val="008F4178"/>
    <w:rsid w:val="008F4812"/>
    <w:rsid w:val="008F77A9"/>
    <w:rsid w:val="008F7D2F"/>
    <w:rsid w:val="009006F5"/>
    <w:rsid w:val="0090141D"/>
    <w:rsid w:val="00903A38"/>
    <w:rsid w:val="00903A4B"/>
    <w:rsid w:val="00905C9F"/>
    <w:rsid w:val="00920250"/>
    <w:rsid w:val="00924F48"/>
    <w:rsid w:val="00930C4B"/>
    <w:rsid w:val="00932B38"/>
    <w:rsid w:val="009379A2"/>
    <w:rsid w:val="0094333E"/>
    <w:rsid w:val="00952F86"/>
    <w:rsid w:val="00954E02"/>
    <w:rsid w:val="009561F0"/>
    <w:rsid w:val="00957E85"/>
    <w:rsid w:val="0096363B"/>
    <w:rsid w:val="00963991"/>
    <w:rsid w:val="00964A18"/>
    <w:rsid w:val="00965A4E"/>
    <w:rsid w:val="00965C89"/>
    <w:rsid w:val="009765CE"/>
    <w:rsid w:val="00983B7E"/>
    <w:rsid w:val="00985E6A"/>
    <w:rsid w:val="00990660"/>
    <w:rsid w:val="009915F4"/>
    <w:rsid w:val="009A5D07"/>
    <w:rsid w:val="009B5BE7"/>
    <w:rsid w:val="009C2489"/>
    <w:rsid w:val="009C30E5"/>
    <w:rsid w:val="009C4D0B"/>
    <w:rsid w:val="009C5209"/>
    <w:rsid w:val="009D2418"/>
    <w:rsid w:val="009D39A9"/>
    <w:rsid w:val="009E00D6"/>
    <w:rsid w:val="009E4963"/>
    <w:rsid w:val="009E4B7A"/>
    <w:rsid w:val="009E7BE9"/>
    <w:rsid w:val="009F1288"/>
    <w:rsid w:val="009F4094"/>
    <w:rsid w:val="009F656E"/>
    <w:rsid w:val="00A037DA"/>
    <w:rsid w:val="00A11FF2"/>
    <w:rsid w:val="00A1700E"/>
    <w:rsid w:val="00A219AD"/>
    <w:rsid w:val="00A535C4"/>
    <w:rsid w:val="00A535D4"/>
    <w:rsid w:val="00A575A5"/>
    <w:rsid w:val="00A60BD6"/>
    <w:rsid w:val="00A70185"/>
    <w:rsid w:val="00A77939"/>
    <w:rsid w:val="00A81464"/>
    <w:rsid w:val="00A8156B"/>
    <w:rsid w:val="00A87E79"/>
    <w:rsid w:val="00A96AE2"/>
    <w:rsid w:val="00A970E1"/>
    <w:rsid w:val="00AA10EB"/>
    <w:rsid w:val="00AA2AA4"/>
    <w:rsid w:val="00AA7641"/>
    <w:rsid w:val="00AB0A1B"/>
    <w:rsid w:val="00AB2ADA"/>
    <w:rsid w:val="00AB37C2"/>
    <w:rsid w:val="00AC035D"/>
    <w:rsid w:val="00AC29BD"/>
    <w:rsid w:val="00AD0879"/>
    <w:rsid w:val="00AD28DA"/>
    <w:rsid w:val="00AD3716"/>
    <w:rsid w:val="00AD4E76"/>
    <w:rsid w:val="00AE0AD7"/>
    <w:rsid w:val="00AF1541"/>
    <w:rsid w:val="00AF5B00"/>
    <w:rsid w:val="00B00A90"/>
    <w:rsid w:val="00B036B5"/>
    <w:rsid w:val="00B04348"/>
    <w:rsid w:val="00B04450"/>
    <w:rsid w:val="00B112E1"/>
    <w:rsid w:val="00B11558"/>
    <w:rsid w:val="00B15402"/>
    <w:rsid w:val="00B23A2C"/>
    <w:rsid w:val="00B26108"/>
    <w:rsid w:val="00B423B6"/>
    <w:rsid w:val="00B43301"/>
    <w:rsid w:val="00B50BD3"/>
    <w:rsid w:val="00B54740"/>
    <w:rsid w:val="00B55E34"/>
    <w:rsid w:val="00B578D3"/>
    <w:rsid w:val="00B60FB1"/>
    <w:rsid w:val="00B7225F"/>
    <w:rsid w:val="00B72820"/>
    <w:rsid w:val="00B7645D"/>
    <w:rsid w:val="00B8261D"/>
    <w:rsid w:val="00B85BCC"/>
    <w:rsid w:val="00B87911"/>
    <w:rsid w:val="00B87B04"/>
    <w:rsid w:val="00B90486"/>
    <w:rsid w:val="00B9074D"/>
    <w:rsid w:val="00B91318"/>
    <w:rsid w:val="00BA1459"/>
    <w:rsid w:val="00BA6CF5"/>
    <w:rsid w:val="00BB526A"/>
    <w:rsid w:val="00BC1594"/>
    <w:rsid w:val="00BC52D5"/>
    <w:rsid w:val="00BD0DB1"/>
    <w:rsid w:val="00BD355D"/>
    <w:rsid w:val="00BE5DCD"/>
    <w:rsid w:val="00BE6029"/>
    <w:rsid w:val="00BF32C7"/>
    <w:rsid w:val="00BF3F20"/>
    <w:rsid w:val="00C01DBA"/>
    <w:rsid w:val="00C210D2"/>
    <w:rsid w:val="00C235F0"/>
    <w:rsid w:val="00C2416A"/>
    <w:rsid w:val="00C24258"/>
    <w:rsid w:val="00C330D9"/>
    <w:rsid w:val="00C37F68"/>
    <w:rsid w:val="00C41C7C"/>
    <w:rsid w:val="00C4244C"/>
    <w:rsid w:val="00C44DEC"/>
    <w:rsid w:val="00C54405"/>
    <w:rsid w:val="00C64778"/>
    <w:rsid w:val="00C65BDD"/>
    <w:rsid w:val="00C777B1"/>
    <w:rsid w:val="00C77FF5"/>
    <w:rsid w:val="00C81789"/>
    <w:rsid w:val="00C83431"/>
    <w:rsid w:val="00C86389"/>
    <w:rsid w:val="00C904CE"/>
    <w:rsid w:val="00C95D71"/>
    <w:rsid w:val="00CA08EF"/>
    <w:rsid w:val="00CA6745"/>
    <w:rsid w:val="00CA746B"/>
    <w:rsid w:val="00CB0F7E"/>
    <w:rsid w:val="00CC2B72"/>
    <w:rsid w:val="00CC3930"/>
    <w:rsid w:val="00CC535E"/>
    <w:rsid w:val="00CC742B"/>
    <w:rsid w:val="00CD67E4"/>
    <w:rsid w:val="00CE09C3"/>
    <w:rsid w:val="00CF54F2"/>
    <w:rsid w:val="00D117AA"/>
    <w:rsid w:val="00D14B21"/>
    <w:rsid w:val="00D20FA1"/>
    <w:rsid w:val="00D21D77"/>
    <w:rsid w:val="00D22E85"/>
    <w:rsid w:val="00D24247"/>
    <w:rsid w:val="00D40D0B"/>
    <w:rsid w:val="00D43150"/>
    <w:rsid w:val="00D44536"/>
    <w:rsid w:val="00D4755F"/>
    <w:rsid w:val="00D51C02"/>
    <w:rsid w:val="00D53C5C"/>
    <w:rsid w:val="00D615A0"/>
    <w:rsid w:val="00D67991"/>
    <w:rsid w:val="00D70BD8"/>
    <w:rsid w:val="00D7231F"/>
    <w:rsid w:val="00D73F2E"/>
    <w:rsid w:val="00D7546E"/>
    <w:rsid w:val="00D81CE3"/>
    <w:rsid w:val="00DA2E08"/>
    <w:rsid w:val="00DA5336"/>
    <w:rsid w:val="00DB0433"/>
    <w:rsid w:val="00DB17E7"/>
    <w:rsid w:val="00DB33F2"/>
    <w:rsid w:val="00DB4095"/>
    <w:rsid w:val="00DB4F4B"/>
    <w:rsid w:val="00DB597A"/>
    <w:rsid w:val="00DB7400"/>
    <w:rsid w:val="00DB751B"/>
    <w:rsid w:val="00DC0DCD"/>
    <w:rsid w:val="00DC43E3"/>
    <w:rsid w:val="00DD080F"/>
    <w:rsid w:val="00DD0A10"/>
    <w:rsid w:val="00DD2BB3"/>
    <w:rsid w:val="00DD3CA5"/>
    <w:rsid w:val="00DD5358"/>
    <w:rsid w:val="00DE0FA1"/>
    <w:rsid w:val="00DE6894"/>
    <w:rsid w:val="00DF2204"/>
    <w:rsid w:val="00DF7D4D"/>
    <w:rsid w:val="00E000C4"/>
    <w:rsid w:val="00E0171B"/>
    <w:rsid w:val="00E01EBC"/>
    <w:rsid w:val="00E04F56"/>
    <w:rsid w:val="00E05FA2"/>
    <w:rsid w:val="00E16ABE"/>
    <w:rsid w:val="00E204D7"/>
    <w:rsid w:val="00E35A42"/>
    <w:rsid w:val="00E42857"/>
    <w:rsid w:val="00E42BAB"/>
    <w:rsid w:val="00E437A5"/>
    <w:rsid w:val="00E47ADB"/>
    <w:rsid w:val="00E55CA5"/>
    <w:rsid w:val="00E6308D"/>
    <w:rsid w:val="00E649AB"/>
    <w:rsid w:val="00E66259"/>
    <w:rsid w:val="00E7256D"/>
    <w:rsid w:val="00E763A2"/>
    <w:rsid w:val="00E80373"/>
    <w:rsid w:val="00E83609"/>
    <w:rsid w:val="00E9625A"/>
    <w:rsid w:val="00EA1069"/>
    <w:rsid w:val="00EA6043"/>
    <w:rsid w:val="00EB2413"/>
    <w:rsid w:val="00EB668B"/>
    <w:rsid w:val="00EC30E3"/>
    <w:rsid w:val="00EC4A06"/>
    <w:rsid w:val="00EC4BD5"/>
    <w:rsid w:val="00EC7F2F"/>
    <w:rsid w:val="00ED0171"/>
    <w:rsid w:val="00ED413C"/>
    <w:rsid w:val="00ED55A7"/>
    <w:rsid w:val="00ED753D"/>
    <w:rsid w:val="00EE2EE7"/>
    <w:rsid w:val="00EE4F6B"/>
    <w:rsid w:val="00F20D32"/>
    <w:rsid w:val="00F334AE"/>
    <w:rsid w:val="00F373E3"/>
    <w:rsid w:val="00F37437"/>
    <w:rsid w:val="00F40149"/>
    <w:rsid w:val="00F464B2"/>
    <w:rsid w:val="00F65A2F"/>
    <w:rsid w:val="00F67D2D"/>
    <w:rsid w:val="00F72781"/>
    <w:rsid w:val="00F72B80"/>
    <w:rsid w:val="00F8282A"/>
    <w:rsid w:val="00F84CC2"/>
    <w:rsid w:val="00F87012"/>
    <w:rsid w:val="00F90F84"/>
    <w:rsid w:val="00F971E9"/>
    <w:rsid w:val="00FA4BC7"/>
    <w:rsid w:val="00FA550F"/>
    <w:rsid w:val="00FB0BE4"/>
    <w:rsid w:val="00FC1E80"/>
    <w:rsid w:val="00FC7F27"/>
    <w:rsid w:val="00FD169E"/>
    <w:rsid w:val="00FD41E4"/>
    <w:rsid w:val="00FE322E"/>
    <w:rsid w:val="00FE558F"/>
    <w:rsid w:val="00FE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7D409"/>
  <w15:docId w15:val="{CEFC1607-44F2-418D-9142-7E613FA4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8D3"/>
    <w:rPr>
      <w:rFonts w:ascii="Axiata Book" w:hAnsi="Axiata Book" w:cs="Axiata Book"/>
    </w:rPr>
  </w:style>
  <w:style w:type="paragraph" w:styleId="Heading6">
    <w:name w:val="heading 6"/>
    <w:basedOn w:val="Normal"/>
    <w:next w:val="Normal"/>
    <w:link w:val="Heading6Char"/>
    <w:qFormat/>
    <w:rsid w:val="00805B4A"/>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059"/>
    <w:rPr>
      <w:rFonts w:ascii="Axiata Book" w:hAnsi="Axiata Book" w:cs="Axiata Book"/>
    </w:rPr>
  </w:style>
  <w:style w:type="paragraph" w:styleId="Footer">
    <w:name w:val="footer"/>
    <w:basedOn w:val="Normal"/>
    <w:link w:val="FooterChar"/>
    <w:uiPriority w:val="99"/>
    <w:unhideWhenUsed/>
    <w:rsid w:val="00483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059"/>
    <w:rPr>
      <w:rFonts w:ascii="Axiata Book" w:hAnsi="Axiata Book" w:cs="Axiata Book"/>
    </w:rPr>
  </w:style>
  <w:style w:type="paragraph" w:styleId="NoSpacing">
    <w:name w:val="No Spacing"/>
    <w:uiPriority w:val="1"/>
    <w:qFormat/>
    <w:rsid w:val="00A575A5"/>
    <w:pPr>
      <w:spacing w:after="0" w:line="240" w:lineRule="auto"/>
    </w:pPr>
    <w:rPr>
      <w:rFonts w:eastAsiaTheme="minorEastAsia"/>
    </w:rPr>
  </w:style>
  <w:style w:type="paragraph" w:styleId="ListParagraph">
    <w:name w:val="List Paragraph"/>
    <w:basedOn w:val="Normal"/>
    <w:uiPriority w:val="34"/>
    <w:qFormat/>
    <w:rsid w:val="006C18DE"/>
    <w:pPr>
      <w:ind w:left="720"/>
      <w:contextualSpacing/>
    </w:pPr>
  </w:style>
  <w:style w:type="character" w:customStyle="1" w:styleId="Heading6Char">
    <w:name w:val="Heading 6 Char"/>
    <w:basedOn w:val="DefaultParagraphFont"/>
    <w:link w:val="Heading6"/>
    <w:rsid w:val="00805B4A"/>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328215">
      <w:bodyDiv w:val="1"/>
      <w:marLeft w:val="0"/>
      <w:marRight w:val="0"/>
      <w:marTop w:val="0"/>
      <w:marBottom w:val="0"/>
      <w:divBdr>
        <w:top w:val="none" w:sz="0" w:space="0" w:color="auto"/>
        <w:left w:val="none" w:sz="0" w:space="0" w:color="auto"/>
        <w:bottom w:val="none" w:sz="0" w:space="0" w:color="auto"/>
        <w:right w:val="none" w:sz="0" w:space="0" w:color="auto"/>
      </w:divBdr>
    </w:div>
    <w:div w:id="119708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AXIATA (Bangladesh) Limited</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anm.kamrul</dc:creator>
  <cp:lastModifiedBy>Sonjoy/IT/Sonjoy Chakraborty (Email: sonjoy.chakraborty@robi.com.bd)</cp:lastModifiedBy>
  <cp:revision>6</cp:revision>
  <dcterms:created xsi:type="dcterms:W3CDTF">2019-09-29T11:32:00Z</dcterms:created>
  <dcterms:modified xsi:type="dcterms:W3CDTF">2019-09-29T11:39:00Z</dcterms:modified>
</cp:coreProperties>
</file>